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EDF7" w14:textId="79B84928" w:rsidR="00990D49" w:rsidRPr="00E61438" w:rsidRDefault="00053809" w:rsidP="007C4EE3">
      <w:pPr>
        <w:spacing w:before="100" w:beforeAutospacing="1" w:after="100" w:afterAutospacing="1" w:line="240" w:lineRule="auto"/>
        <w:rPr>
          <w:rFonts w:ascii="Arial Narrow" w:hAnsi="Arial Narrow"/>
          <w:b/>
          <w:sz w:val="28"/>
          <w:szCs w:val="28"/>
        </w:rPr>
      </w:pPr>
      <w:r w:rsidRPr="00E61438">
        <w:rPr>
          <w:rFonts w:ascii="Arial Narrow" w:hAnsi="Arial Narrow"/>
          <w:b/>
          <w:sz w:val="28"/>
          <w:szCs w:val="28"/>
        </w:rPr>
        <w:t>Adoption de la</w:t>
      </w:r>
      <w:r w:rsidRPr="00E61438">
        <w:rPr>
          <w:rFonts w:ascii="Arial Narrow" w:hAnsi="Arial Narrow"/>
          <w:b/>
          <w:i/>
          <w:sz w:val="28"/>
          <w:szCs w:val="28"/>
        </w:rPr>
        <w:t xml:space="preserve"> Loi sur l’intégration à la nation québécoise</w:t>
      </w:r>
      <w:r w:rsidRPr="00E61438">
        <w:rPr>
          <w:rFonts w:ascii="Arial Narrow" w:hAnsi="Arial Narrow"/>
          <w:b/>
          <w:sz w:val="28"/>
          <w:szCs w:val="28"/>
        </w:rPr>
        <w:t xml:space="preserve"> - l</w:t>
      </w:r>
      <w:r w:rsidR="000021C5" w:rsidRPr="00E61438">
        <w:rPr>
          <w:rFonts w:ascii="Arial Narrow" w:hAnsi="Arial Narrow"/>
          <w:b/>
          <w:sz w:val="28"/>
          <w:szCs w:val="28"/>
        </w:rPr>
        <w:t xml:space="preserve">a vigilance </w:t>
      </w:r>
      <w:r w:rsidRPr="00E61438">
        <w:rPr>
          <w:rFonts w:ascii="Arial Narrow" w:hAnsi="Arial Narrow"/>
          <w:b/>
          <w:sz w:val="28"/>
          <w:szCs w:val="28"/>
        </w:rPr>
        <w:t xml:space="preserve">de la Table </w:t>
      </w:r>
      <w:r w:rsidR="00601CA7" w:rsidRPr="00E61438">
        <w:rPr>
          <w:rFonts w:ascii="Arial Narrow" w:hAnsi="Arial Narrow"/>
          <w:b/>
          <w:sz w:val="28"/>
          <w:szCs w:val="28"/>
        </w:rPr>
        <w:t>ne fait que commencer</w:t>
      </w:r>
    </w:p>
    <w:p w14:paraId="3835B568" w14:textId="0E00DF97" w:rsidR="000A44D3" w:rsidRPr="00E61438" w:rsidRDefault="00053809" w:rsidP="007C4EE3">
      <w:pPr>
        <w:spacing w:before="100" w:beforeAutospacing="1" w:after="100" w:afterAutospacing="1" w:line="240" w:lineRule="auto"/>
        <w:rPr>
          <w:rFonts w:ascii="Arial Narrow" w:eastAsia="Times New Roman" w:hAnsi="Arial Narrow"/>
          <w:lang w:eastAsia="fr-CA"/>
        </w:rPr>
      </w:pPr>
      <w:r w:rsidRPr="00E61438">
        <w:rPr>
          <w:rFonts w:ascii="Arial Narrow" w:hAnsi="Arial Narrow"/>
          <w:i/>
        </w:rPr>
        <w:t>Montréal, le 29 mai 2025.</w:t>
      </w:r>
      <w:r w:rsidRPr="00E61438">
        <w:rPr>
          <w:rFonts w:ascii="Arial Narrow" w:hAnsi="Arial Narrow"/>
        </w:rPr>
        <w:t xml:space="preserve"> </w:t>
      </w:r>
      <w:r w:rsidR="00990D49" w:rsidRPr="00E61438">
        <w:rPr>
          <w:rFonts w:ascii="Arial Narrow" w:hAnsi="Arial Narrow"/>
        </w:rPr>
        <w:t xml:space="preserve">Le gouvernement a adopté hier la </w:t>
      </w:r>
      <w:r w:rsidR="00990D49" w:rsidRPr="00E61438">
        <w:rPr>
          <w:rFonts w:ascii="Arial Narrow" w:hAnsi="Arial Narrow"/>
          <w:i/>
        </w:rPr>
        <w:t>Loi sur l’intégration à la nation québécoise</w:t>
      </w:r>
      <w:r w:rsidR="00990D49" w:rsidRPr="00E61438">
        <w:rPr>
          <w:rFonts w:ascii="Arial Narrow" w:hAnsi="Arial Narrow"/>
        </w:rPr>
        <w:t xml:space="preserve">, finalisant ainsi le processus </w:t>
      </w:r>
      <w:r w:rsidR="00C25A14" w:rsidRPr="00E61438">
        <w:rPr>
          <w:rFonts w:ascii="Arial Narrow" w:hAnsi="Arial Narrow"/>
        </w:rPr>
        <w:t>d’analyse du P</w:t>
      </w:r>
      <w:r w:rsidR="00990D49" w:rsidRPr="00E61438">
        <w:rPr>
          <w:rFonts w:ascii="Arial Narrow" w:hAnsi="Arial Narrow"/>
        </w:rPr>
        <w:t>rojet de loi no 84</w:t>
      </w:r>
      <w:r w:rsidR="00B52005" w:rsidRPr="00E61438">
        <w:rPr>
          <w:rFonts w:ascii="Arial Narrow" w:hAnsi="Arial Narrow"/>
        </w:rPr>
        <w:t>, présenté par le ministre Jean-François Roberge, à titre de Ministre de la Langue française.</w:t>
      </w:r>
      <w:r w:rsidRPr="00E61438">
        <w:rPr>
          <w:rFonts w:ascii="Arial Narrow" w:hAnsi="Arial Narrow"/>
        </w:rPr>
        <w:t xml:space="preserve"> </w:t>
      </w:r>
      <w:r w:rsidR="00EC1A2A" w:rsidRPr="00E61438">
        <w:rPr>
          <w:rFonts w:ascii="Arial Narrow" w:hAnsi="Arial Narrow"/>
        </w:rPr>
        <w:t xml:space="preserve">La </w:t>
      </w:r>
      <w:hyperlink r:id="rId7" w:history="1">
        <w:r w:rsidR="00EC1A2A" w:rsidRPr="00F35F37">
          <w:rPr>
            <w:rStyle w:val="Lienhypertexte"/>
            <w:rFonts w:ascii="Arial Narrow" w:hAnsi="Arial Narrow"/>
          </w:rPr>
          <w:t xml:space="preserve">Table </w:t>
        </w:r>
        <w:r w:rsidR="00F35F37" w:rsidRPr="00F35F37">
          <w:rPr>
            <w:rStyle w:val="Lienhypertexte"/>
            <w:rFonts w:ascii="Arial Narrow" w:hAnsi="Arial Narrow"/>
          </w:rPr>
          <w:t>des regroupements provinciaux d’organismes communautaires et bénévoles</w:t>
        </w:r>
      </w:hyperlink>
      <w:r w:rsidR="00F35F37">
        <w:rPr>
          <w:rFonts w:ascii="Arial Narrow" w:hAnsi="Arial Narrow"/>
        </w:rPr>
        <w:t xml:space="preserve"> </w:t>
      </w:r>
      <w:r w:rsidR="00EC1A2A" w:rsidRPr="00E61438">
        <w:rPr>
          <w:rFonts w:ascii="Arial Narrow" w:hAnsi="Arial Narrow"/>
        </w:rPr>
        <w:t xml:space="preserve">est intervenue </w:t>
      </w:r>
      <w:r w:rsidR="00AC04AA" w:rsidRPr="00E61438">
        <w:rPr>
          <w:rFonts w:ascii="Arial Narrow" w:hAnsi="Arial Narrow"/>
        </w:rPr>
        <w:t xml:space="preserve">sur son contenu </w:t>
      </w:r>
      <w:r w:rsidR="002664B1" w:rsidRPr="00E61438">
        <w:rPr>
          <w:rFonts w:ascii="Arial Narrow" w:hAnsi="Arial Narrow"/>
        </w:rPr>
        <w:t xml:space="preserve">à </w:t>
      </w:r>
      <w:r w:rsidR="00EC1A2A" w:rsidRPr="00E61438">
        <w:rPr>
          <w:rFonts w:ascii="Arial Narrow" w:hAnsi="Arial Narrow"/>
        </w:rPr>
        <w:t xml:space="preserve">compter du début d’avril, lorsqu’elle a constaté que la </w:t>
      </w:r>
      <w:r w:rsidR="00EC1A2A" w:rsidRPr="00E61438">
        <w:rPr>
          <w:rFonts w:ascii="Arial Narrow" w:hAnsi="Arial Narrow"/>
          <w:i/>
        </w:rPr>
        <w:t>Politique pour l’intégration à la nation québécoise</w:t>
      </w:r>
      <w:r w:rsidR="00EC1A2A" w:rsidRPr="00E61438">
        <w:rPr>
          <w:rFonts w:ascii="Arial Narrow" w:hAnsi="Arial Narrow"/>
        </w:rPr>
        <w:t xml:space="preserve"> </w:t>
      </w:r>
      <w:r w:rsidR="00EB49F0" w:rsidRPr="00E61438">
        <w:rPr>
          <w:rFonts w:ascii="Arial Narrow" w:hAnsi="Arial Narrow"/>
        </w:rPr>
        <w:t>s’appliquerait</w:t>
      </w:r>
      <w:r w:rsidR="00EC1A2A" w:rsidRPr="00E61438">
        <w:rPr>
          <w:rFonts w:ascii="Arial Narrow" w:hAnsi="Arial Narrow"/>
        </w:rPr>
        <w:t xml:space="preserve"> aux </w:t>
      </w:r>
      <w:r w:rsidR="00EC1A2A" w:rsidRPr="00E61438">
        <w:rPr>
          <w:rFonts w:ascii="Arial Narrow" w:eastAsia="Times New Roman" w:hAnsi="Arial Narrow"/>
          <w:lang w:eastAsia="fr-CA"/>
        </w:rPr>
        <w:t>organismes communautaires autonomes, alors qu’ils ne sont pas des établissements de l’État. Elle a de plus participé aux prises de paroles collectives, initiées</w:t>
      </w:r>
      <w:r w:rsidR="000A44D3" w:rsidRPr="00E61438">
        <w:rPr>
          <w:rFonts w:ascii="Arial Narrow" w:eastAsia="Times New Roman" w:hAnsi="Arial Narrow"/>
          <w:lang w:eastAsia="fr-CA"/>
        </w:rPr>
        <w:t xml:space="preserve"> par la Ligue des droits et libertés (LDL) et la Table de concertation des organismes au service des personnes réfugiées et immigrantes (TCRI) dénonçant </w:t>
      </w:r>
      <w:r w:rsidR="00272AD0" w:rsidRPr="00E61438">
        <w:rPr>
          <w:rFonts w:ascii="Arial Narrow" w:eastAsia="Times New Roman" w:hAnsi="Arial Narrow"/>
          <w:lang w:eastAsia="fr-CA"/>
        </w:rPr>
        <w:t xml:space="preserve">les </w:t>
      </w:r>
      <w:r w:rsidR="000A44D3" w:rsidRPr="00E61438">
        <w:rPr>
          <w:rFonts w:ascii="Arial Narrow" w:eastAsia="Times New Roman" w:hAnsi="Arial Narrow"/>
          <w:lang w:eastAsia="fr-CA"/>
        </w:rPr>
        <w:t>problèmes démocratiques du projet de loi 84.</w:t>
      </w:r>
      <w:r w:rsidR="003763D8" w:rsidRPr="00E61438">
        <w:rPr>
          <w:rFonts w:ascii="Arial Narrow" w:eastAsia="Times New Roman" w:hAnsi="Arial Narrow"/>
          <w:lang w:eastAsia="fr-CA"/>
        </w:rPr>
        <w:t xml:space="preserve"> La Table</w:t>
      </w:r>
      <w:r w:rsidR="000A44D3" w:rsidRPr="00E61438">
        <w:rPr>
          <w:rFonts w:ascii="Arial Narrow" w:eastAsia="Times New Roman" w:hAnsi="Arial Narrow"/>
          <w:lang w:eastAsia="fr-CA"/>
        </w:rPr>
        <w:t xml:space="preserve"> partage d’ailleurs </w:t>
      </w:r>
      <w:hyperlink r:id="rId8" w:history="1">
        <w:r w:rsidR="000A44D3" w:rsidRPr="00E61438">
          <w:rPr>
            <w:rStyle w:val="Lienhypertexte"/>
            <w:rFonts w:ascii="Arial Narrow" w:eastAsia="Times New Roman" w:hAnsi="Arial Narrow"/>
            <w:lang w:eastAsia="fr-CA"/>
          </w:rPr>
          <w:t xml:space="preserve">l’analyse </w:t>
        </w:r>
        <w:r w:rsidR="006D49AE" w:rsidRPr="00E61438">
          <w:rPr>
            <w:rStyle w:val="Lienhypertexte"/>
            <w:rFonts w:ascii="Arial Narrow" w:eastAsia="Times New Roman" w:hAnsi="Arial Narrow"/>
            <w:lang w:eastAsia="fr-CA"/>
          </w:rPr>
          <w:t>globale publiée par ces derniers par voie de communiqué</w:t>
        </w:r>
      </w:hyperlink>
      <w:r w:rsidR="006D49AE" w:rsidRPr="00E61438">
        <w:rPr>
          <w:rFonts w:ascii="Arial Narrow" w:eastAsia="Times New Roman" w:hAnsi="Arial Narrow"/>
          <w:lang w:eastAsia="fr-CA"/>
        </w:rPr>
        <w:t>.</w:t>
      </w:r>
    </w:p>
    <w:p w14:paraId="18A8A899" w14:textId="7A489713" w:rsidR="00465BDF" w:rsidRPr="00E61438" w:rsidRDefault="00465BDF" w:rsidP="00465BDF">
      <w:pPr>
        <w:spacing w:before="100" w:beforeAutospacing="1" w:after="100" w:afterAutospacing="1" w:line="240" w:lineRule="auto"/>
        <w:rPr>
          <w:rFonts w:ascii="Arial Narrow" w:hAnsi="Arial Narrow"/>
        </w:rPr>
      </w:pPr>
      <w:r w:rsidRPr="00E61438">
        <w:rPr>
          <w:rFonts w:ascii="Arial Narrow" w:hAnsi="Arial Narrow"/>
        </w:rPr>
        <w:t>« </w:t>
      </w:r>
      <w:r w:rsidR="00053809" w:rsidRPr="00E61438">
        <w:rPr>
          <w:rFonts w:ascii="Arial Narrow" w:hAnsi="Arial Narrow"/>
        </w:rPr>
        <w:t xml:space="preserve">La </w:t>
      </w:r>
      <w:r w:rsidR="00053809" w:rsidRPr="00E61438">
        <w:rPr>
          <w:rFonts w:ascii="Arial Narrow" w:hAnsi="Arial Narrow"/>
          <w:i/>
        </w:rPr>
        <w:t>Loi sur l’intégration à la nation québécoise</w:t>
      </w:r>
      <w:r w:rsidR="00053809" w:rsidRPr="00E61438">
        <w:rPr>
          <w:rFonts w:ascii="Arial Narrow" w:hAnsi="Arial Narrow"/>
        </w:rPr>
        <w:t xml:space="preserve"> </w:t>
      </w:r>
      <w:r w:rsidRPr="00E61438">
        <w:rPr>
          <w:rFonts w:ascii="Arial Narrow" w:hAnsi="Arial Narrow"/>
        </w:rPr>
        <w:t xml:space="preserve">est un exemple frappant de cas où des décisions gouvernementales s’appliquent à des groupes </w:t>
      </w:r>
      <w:r w:rsidR="003D77A6" w:rsidRPr="00E61438">
        <w:rPr>
          <w:rFonts w:ascii="Arial Narrow" w:hAnsi="Arial Narrow"/>
        </w:rPr>
        <w:t>communautaires</w:t>
      </w:r>
      <w:r w:rsidRPr="00E61438">
        <w:rPr>
          <w:rFonts w:ascii="Arial Narrow" w:hAnsi="Arial Narrow"/>
        </w:rPr>
        <w:t>, sans que les conséquences sur eux</w:t>
      </w:r>
      <w:r w:rsidR="003D77A6" w:rsidRPr="00E61438">
        <w:rPr>
          <w:rFonts w:ascii="Arial Narrow" w:hAnsi="Arial Narrow"/>
        </w:rPr>
        <w:t xml:space="preserve"> soient</w:t>
      </w:r>
      <w:r w:rsidRPr="00E61438">
        <w:rPr>
          <w:rFonts w:ascii="Arial Narrow" w:hAnsi="Arial Narrow"/>
        </w:rPr>
        <w:t xml:space="preserve"> prises en compte. Sans </w:t>
      </w:r>
      <w:hyperlink r:id="rId9" w:history="1">
        <w:r w:rsidRPr="00F35F37">
          <w:rPr>
            <w:rStyle w:val="Lienhypertexte"/>
            <w:rFonts w:ascii="Arial Narrow" w:hAnsi="Arial Narrow"/>
          </w:rPr>
          <w:t>les interventions de la Table</w:t>
        </w:r>
      </w:hyperlink>
      <w:r w:rsidRPr="00E61438">
        <w:rPr>
          <w:rFonts w:ascii="Arial Narrow" w:hAnsi="Arial Narrow"/>
        </w:rPr>
        <w:t xml:space="preserve">, </w:t>
      </w:r>
      <w:r w:rsidR="003D77A6" w:rsidRPr="00E61438">
        <w:rPr>
          <w:rFonts w:ascii="Arial Narrow" w:hAnsi="Arial Narrow"/>
        </w:rPr>
        <w:t>tout</w:t>
      </w:r>
      <w:r w:rsidRPr="00E61438">
        <w:rPr>
          <w:rFonts w:ascii="Arial Narrow" w:hAnsi="Arial Narrow"/>
        </w:rPr>
        <w:t xml:space="preserve"> groupe recevant une subvention du gouvernement du Québec et des municipalités aurait été assujetti à la </w:t>
      </w:r>
      <w:r w:rsidR="00053809" w:rsidRPr="00E61438">
        <w:rPr>
          <w:rFonts w:ascii="Arial Narrow" w:hAnsi="Arial Narrow"/>
          <w:i/>
        </w:rPr>
        <w:t>Politique</w:t>
      </w:r>
      <w:r w:rsidR="00053809" w:rsidRPr="00E61438">
        <w:rPr>
          <w:rFonts w:ascii="Arial Narrow" w:hAnsi="Arial Narrow"/>
        </w:rPr>
        <w:t xml:space="preserve"> qui découlera de la </w:t>
      </w:r>
      <w:r w:rsidR="00053809" w:rsidRPr="00E61438">
        <w:rPr>
          <w:rFonts w:ascii="Arial Narrow" w:hAnsi="Arial Narrow"/>
          <w:i/>
        </w:rPr>
        <w:t>Loi</w:t>
      </w:r>
      <w:r w:rsidR="00053809" w:rsidRPr="00E61438">
        <w:rPr>
          <w:rFonts w:ascii="Arial Narrow" w:hAnsi="Arial Narrow"/>
        </w:rPr>
        <w:t xml:space="preserve">, </w:t>
      </w:r>
      <w:r w:rsidRPr="00E61438">
        <w:rPr>
          <w:rFonts w:ascii="Arial Narrow" w:hAnsi="Arial Narrow"/>
        </w:rPr>
        <w:t xml:space="preserve">comme s’ils étaient des établissements gouvernementaux, ce qu’ils ne sont évidemment pas. Nous apprécions que le ministre Roberge ait fait marche arrière à cet égard, mais nous dénonçons son choix de lier les programmes de financement par projet à l’application de la </w:t>
      </w:r>
      <w:r w:rsidR="00053809" w:rsidRPr="00E61438">
        <w:rPr>
          <w:rFonts w:ascii="Arial Narrow" w:hAnsi="Arial Narrow"/>
          <w:i/>
        </w:rPr>
        <w:t>Politique pour l’intégration à la nation québécoise</w:t>
      </w:r>
      <w:r w:rsidRPr="00E61438">
        <w:rPr>
          <w:rFonts w:ascii="Arial Narrow" w:hAnsi="Arial Narrow"/>
        </w:rPr>
        <w:t> »</w:t>
      </w:r>
      <w:r w:rsidR="00053809" w:rsidRPr="00E61438">
        <w:rPr>
          <w:rFonts w:ascii="Arial Narrow" w:hAnsi="Arial Narrow"/>
        </w:rPr>
        <w:t xml:space="preserve"> souligne Stéphanie Vallée, présidente de la </w:t>
      </w:r>
      <w:r w:rsidR="00053809" w:rsidRPr="00E61438">
        <w:rPr>
          <w:rFonts w:ascii="Arial Narrow" w:eastAsia="Arial Narrow" w:hAnsi="Arial Narrow" w:cs="Arial Narrow"/>
        </w:rPr>
        <w:t>Table des regroupements provinciaux d’organismes communautaires et bénévoles.</w:t>
      </w:r>
    </w:p>
    <w:p w14:paraId="2FA216C4" w14:textId="4BB64BC1" w:rsidR="00AC04AA" w:rsidRPr="00E61438" w:rsidRDefault="00AC04AA" w:rsidP="007C4EE3">
      <w:pPr>
        <w:spacing w:before="100" w:beforeAutospacing="1" w:after="100" w:afterAutospacing="1" w:line="240" w:lineRule="auto"/>
        <w:rPr>
          <w:rFonts w:ascii="Arial Narrow" w:eastAsia="Times New Roman" w:hAnsi="Arial Narrow"/>
          <w:lang w:eastAsia="fr-CA"/>
        </w:rPr>
      </w:pPr>
      <w:r w:rsidRPr="00E61438">
        <w:rPr>
          <w:rFonts w:ascii="Arial Narrow" w:eastAsia="Times New Roman" w:hAnsi="Arial Narrow"/>
          <w:lang w:eastAsia="fr-CA"/>
        </w:rPr>
        <w:t xml:space="preserve">La Table </w:t>
      </w:r>
      <w:r w:rsidR="00995BF7">
        <w:rPr>
          <w:rFonts w:ascii="Arial Narrow" w:eastAsia="Times New Roman" w:hAnsi="Arial Narrow"/>
          <w:lang w:eastAsia="fr-CA"/>
        </w:rPr>
        <w:t xml:space="preserve">se </w:t>
      </w:r>
      <w:r w:rsidRPr="00E61438">
        <w:rPr>
          <w:rFonts w:ascii="Arial Narrow" w:eastAsia="Times New Roman" w:hAnsi="Arial Narrow"/>
          <w:lang w:eastAsia="fr-CA"/>
        </w:rPr>
        <w:t>s</w:t>
      </w:r>
      <w:r w:rsidR="00995BF7">
        <w:rPr>
          <w:rFonts w:ascii="Arial Narrow" w:eastAsia="Times New Roman" w:hAnsi="Arial Narrow"/>
          <w:lang w:eastAsia="fr-CA"/>
        </w:rPr>
        <w:t>en</w:t>
      </w:r>
      <w:r w:rsidRPr="00E61438">
        <w:rPr>
          <w:rFonts w:ascii="Arial Narrow" w:eastAsia="Times New Roman" w:hAnsi="Arial Narrow"/>
          <w:lang w:eastAsia="fr-CA"/>
        </w:rPr>
        <w:t>t particulièrement interpellée lorsqu’une décision porte atteinte à l’autonomie et aux pratiques des organismes du mouvement de l’action communautaire autonome. En effet, la très grande partie de ce mouvement est composé</w:t>
      </w:r>
      <w:r w:rsidR="00272AD0" w:rsidRPr="00E61438">
        <w:rPr>
          <w:rFonts w:ascii="Arial Narrow" w:eastAsia="Times New Roman" w:hAnsi="Arial Narrow"/>
          <w:lang w:eastAsia="fr-CA"/>
        </w:rPr>
        <w:t>e</w:t>
      </w:r>
      <w:r w:rsidRPr="00E61438">
        <w:rPr>
          <w:rFonts w:ascii="Arial Narrow" w:eastAsia="Times New Roman" w:hAnsi="Arial Narrow"/>
          <w:lang w:eastAsia="fr-CA"/>
        </w:rPr>
        <w:t xml:space="preserve"> des 3 000 organismes du domaine de la santé et des services sociaux (OCASSS) qu’elle représente, face au </w:t>
      </w:r>
      <w:r w:rsidR="00272AD0" w:rsidRPr="00E61438">
        <w:rPr>
          <w:rFonts w:ascii="Arial Narrow" w:eastAsia="Times New Roman" w:hAnsi="Arial Narrow"/>
          <w:lang w:eastAsia="fr-CA"/>
        </w:rPr>
        <w:t>ministère</w:t>
      </w:r>
      <w:r w:rsidR="00FA2F74" w:rsidRPr="00E61438">
        <w:rPr>
          <w:rFonts w:ascii="Arial Narrow" w:eastAsia="Times New Roman" w:hAnsi="Arial Narrow"/>
          <w:lang w:eastAsia="fr-CA"/>
        </w:rPr>
        <w:t xml:space="preserve"> de la Santé et des Services sociaux </w:t>
      </w:r>
      <w:r w:rsidRPr="00E61438">
        <w:rPr>
          <w:rFonts w:ascii="Arial Narrow" w:eastAsia="Times New Roman" w:hAnsi="Arial Narrow"/>
          <w:lang w:eastAsia="fr-CA"/>
        </w:rPr>
        <w:t>et à Santé Québec, en tant qu’interlocutrice nationale.</w:t>
      </w:r>
    </w:p>
    <w:p w14:paraId="6AAE7E51" w14:textId="720C25E3" w:rsidR="00465BDF" w:rsidRPr="00E61438" w:rsidRDefault="00465BDF" w:rsidP="00465BDF">
      <w:pPr>
        <w:spacing w:before="100" w:beforeAutospacing="1" w:after="100" w:afterAutospacing="1" w:line="240" w:lineRule="auto"/>
        <w:rPr>
          <w:rFonts w:ascii="Arial Narrow" w:hAnsi="Arial Narrow"/>
        </w:rPr>
      </w:pPr>
      <w:r w:rsidRPr="00E61438">
        <w:rPr>
          <w:rFonts w:ascii="Arial Narrow" w:hAnsi="Arial Narrow"/>
        </w:rPr>
        <w:t xml:space="preserve">« Le ministre semble oublier que les centaines d’OCASSS recevant des subventions pour des projets ponctuels </w:t>
      </w:r>
      <w:r w:rsidR="00FA2F74" w:rsidRPr="00E61438">
        <w:rPr>
          <w:rFonts w:ascii="Arial Narrow" w:hAnsi="Arial Narrow"/>
        </w:rPr>
        <w:t xml:space="preserve">sont, par nature, </w:t>
      </w:r>
      <w:r w:rsidRPr="00E61438">
        <w:rPr>
          <w:rFonts w:ascii="Arial Narrow" w:hAnsi="Arial Narrow"/>
        </w:rPr>
        <w:t>des organismes autonom</w:t>
      </w:r>
      <w:r w:rsidR="00FA2F74" w:rsidRPr="00E61438">
        <w:rPr>
          <w:rFonts w:ascii="Arial Narrow" w:hAnsi="Arial Narrow"/>
        </w:rPr>
        <w:t xml:space="preserve">es </w:t>
      </w:r>
      <w:r w:rsidRPr="00E61438">
        <w:rPr>
          <w:rFonts w:ascii="Arial Narrow" w:hAnsi="Arial Narrow"/>
        </w:rPr>
        <w:t>devant combiner plusieurs sources de financement pour pallier l’insuffisance de la subvention dédiée à leur fonctionnement général. L’aut</w:t>
      </w:r>
      <w:r w:rsidR="00FA2F74" w:rsidRPr="00E61438">
        <w:rPr>
          <w:rFonts w:ascii="Arial Narrow" w:hAnsi="Arial Narrow"/>
        </w:rPr>
        <w:t xml:space="preserve">onomie d’un groupe </w:t>
      </w:r>
      <w:r w:rsidRPr="00E61438">
        <w:rPr>
          <w:rFonts w:ascii="Arial Narrow" w:hAnsi="Arial Narrow"/>
        </w:rPr>
        <w:t>doit donc être p</w:t>
      </w:r>
      <w:r w:rsidR="00272AD0" w:rsidRPr="00E61438">
        <w:rPr>
          <w:rFonts w:ascii="Arial Narrow" w:hAnsi="Arial Narrow"/>
        </w:rPr>
        <w:t>l</w:t>
      </w:r>
      <w:r w:rsidRPr="00E61438">
        <w:rPr>
          <w:rFonts w:ascii="Arial Narrow" w:hAnsi="Arial Narrow"/>
        </w:rPr>
        <w:t>eine et entière autant lorsqu’</w:t>
      </w:r>
      <w:r w:rsidR="00FA2F74" w:rsidRPr="00E61438">
        <w:rPr>
          <w:rFonts w:ascii="Arial Narrow" w:hAnsi="Arial Narrow"/>
        </w:rPr>
        <w:t xml:space="preserve">il </w:t>
      </w:r>
      <w:r w:rsidRPr="00E61438">
        <w:rPr>
          <w:rFonts w:ascii="Arial Narrow" w:hAnsi="Arial Narrow"/>
        </w:rPr>
        <w:t>soutient la population grâce aux fonds provenant d’un programme pour un projet particulier que pour sa mission globale, et ce, quelle qu’en soit la source »</w:t>
      </w:r>
      <w:r w:rsidR="00CE0179" w:rsidRPr="00E61438">
        <w:rPr>
          <w:rFonts w:ascii="Arial Narrow" w:hAnsi="Arial Narrow"/>
        </w:rPr>
        <w:t xml:space="preserve"> ajoute Mercédez Roberge, coordonnatrice de la Table.</w:t>
      </w:r>
    </w:p>
    <w:p w14:paraId="15E0A959" w14:textId="5C4B8F97" w:rsidR="00465BDF" w:rsidRPr="00E61438" w:rsidRDefault="00465BDF" w:rsidP="00465BDF">
      <w:pPr>
        <w:spacing w:before="100" w:beforeAutospacing="1" w:after="100" w:afterAutospacing="1" w:line="240" w:lineRule="auto"/>
        <w:rPr>
          <w:rFonts w:ascii="Arial Narrow" w:eastAsia="Arial Narrow" w:hAnsi="Arial Narrow" w:cs="Arial Narrow"/>
        </w:rPr>
      </w:pPr>
      <w:r w:rsidRPr="00E61438">
        <w:rPr>
          <w:rFonts w:ascii="Arial Narrow" w:hAnsi="Arial Narrow"/>
        </w:rPr>
        <w:t xml:space="preserve">Le </w:t>
      </w:r>
      <w:hyperlink r:id="rId10" w:history="1">
        <w:r w:rsidRPr="00E61438">
          <w:rPr>
            <w:rStyle w:val="Lienhypertexte"/>
            <w:rFonts w:ascii="Arial Narrow" w:hAnsi="Arial Narrow"/>
          </w:rPr>
          <w:t>communiqué du 28 mai du gouvernement</w:t>
        </w:r>
      </w:hyperlink>
      <w:r w:rsidRPr="00E61438">
        <w:rPr>
          <w:rFonts w:ascii="Arial Narrow" w:hAnsi="Arial Narrow"/>
        </w:rPr>
        <w:t xml:space="preserve"> illustre bien l’incohérence de cette décision en mentionnant que la</w:t>
      </w:r>
      <w:r w:rsidR="00FA2F74" w:rsidRPr="00E61438">
        <w:rPr>
          <w:rFonts w:ascii="Arial Narrow" w:hAnsi="Arial Narrow"/>
        </w:rPr>
        <w:t xml:space="preserve"> future </w:t>
      </w:r>
      <w:r w:rsidR="00FA2F74" w:rsidRPr="00E61438">
        <w:rPr>
          <w:rFonts w:ascii="Arial Narrow" w:hAnsi="Arial Narrow"/>
          <w:i/>
        </w:rPr>
        <w:t>Politique</w:t>
      </w:r>
      <w:r w:rsidRPr="00E61438">
        <w:rPr>
          <w:rFonts w:ascii="Arial Narrow" w:hAnsi="Arial Narrow"/>
        </w:rPr>
        <w:t xml:space="preserve"> « comprendra des mesures pour que s'incarne ce nouveau modèle </w:t>
      </w:r>
      <w:r w:rsidRPr="00E61438">
        <w:rPr>
          <w:rFonts w:ascii="Arial Narrow" w:hAnsi="Arial Narrow"/>
          <w:u w:val="single"/>
        </w:rPr>
        <w:t>au sein de l'État québécois et de ses organismes </w:t>
      </w:r>
      <w:r w:rsidRPr="00E61438">
        <w:rPr>
          <w:rFonts w:ascii="Arial Narrow" w:hAnsi="Arial Narrow"/>
        </w:rPr>
        <w:t xml:space="preserve">» (notre soulignement), le dernier terme ne pouvant ici référer aux </w:t>
      </w:r>
      <w:r w:rsidRPr="00E61438">
        <w:rPr>
          <w:rFonts w:ascii="Arial Narrow" w:eastAsia="Arial Narrow" w:hAnsi="Arial Narrow" w:cs="Arial Narrow"/>
        </w:rPr>
        <w:t>organismes communautaires puisqu’ils n’appartiennent pas à l’État, mais aux communautés les ayant créés.</w:t>
      </w:r>
    </w:p>
    <w:p w14:paraId="6CD737B8" w14:textId="74E70780" w:rsidR="00990D49" w:rsidRPr="00E61438" w:rsidRDefault="00972A17" w:rsidP="007C4EE3">
      <w:pPr>
        <w:spacing w:before="100" w:beforeAutospacing="1" w:after="100" w:afterAutospacing="1" w:line="240" w:lineRule="auto"/>
        <w:rPr>
          <w:rFonts w:ascii="Arial Narrow" w:hAnsi="Arial Narrow"/>
        </w:rPr>
      </w:pPr>
      <w:r w:rsidRPr="00E61438">
        <w:rPr>
          <w:rFonts w:ascii="Arial Narrow" w:hAnsi="Arial Narrow"/>
        </w:rPr>
        <w:lastRenderedPageBreak/>
        <w:t xml:space="preserve">Lors de leurs prochaines discussions avec les responsables des programmes de subventions, les interlocutrices nationales du mouvement de l’action communautaire autonome </w:t>
      </w:r>
      <w:r w:rsidR="00F36AC3" w:rsidRPr="00E61438">
        <w:rPr>
          <w:rFonts w:ascii="Arial Narrow" w:hAnsi="Arial Narrow"/>
        </w:rPr>
        <w:t>devront user d</w:t>
      </w:r>
      <w:r w:rsidRPr="00E61438">
        <w:rPr>
          <w:rFonts w:ascii="Arial Narrow" w:hAnsi="Arial Narrow"/>
        </w:rPr>
        <w:t>’une</w:t>
      </w:r>
      <w:r w:rsidR="00465BDF" w:rsidRPr="00E61438">
        <w:rPr>
          <w:rFonts w:ascii="Arial Narrow" w:hAnsi="Arial Narrow"/>
        </w:rPr>
        <w:t xml:space="preserve"> plus </w:t>
      </w:r>
      <w:r w:rsidR="00F36AC3" w:rsidRPr="00E61438">
        <w:rPr>
          <w:rFonts w:ascii="Arial Narrow" w:hAnsi="Arial Narrow"/>
        </w:rPr>
        <w:t xml:space="preserve">grande vigilance </w:t>
      </w:r>
      <w:r w:rsidRPr="00E61438">
        <w:rPr>
          <w:rFonts w:ascii="Arial Narrow" w:hAnsi="Arial Narrow"/>
        </w:rPr>
        <w:t>encore pour protéger l’autonomie des groupes. Prenant ce rôle très au sérieux, la Table surveillera de près le MSS</w:t>
      </w:r>
      <w:r w:rsidR="00FA2F74" w:rsidRPr="00E61438">
        <w:rPr>
          <w:rFonts w:ascii="Arial Narrow" w:hAnsi="Arial Narrow"/>
        </w:rPr>
        <w:t>S</w:t>
      </w:r>
      <w:r w:rsidRPr="00E61438">
        <w:rPr>
          <w:rFonts w:ascii="Arial Narrow" w:hAnsi="Arial Narrow"/>
        </w:rPr>
        <w:t xml:space="preserve"> et </w:t>
      </w:r>
      <w:r w:rsidR="00FA2F74" w:rsidRPr="00E61438">
        <w:rPr>
          <w:rFonts w:ascii="Arial Narrow" w:hAnsi="Arial Narrow"/>
        </w:rPr>
        <w:t xml:space="preserve">Santé Québec </w:t>
      </w:r>
      <w:r w:rsidRPr="00E61438">
        <w:rPr>
          <w:rFonts w:ascii="Arial Narrow" w:hAnsi="Arial Narrow"/>
        </w:rPr>
        <w:t>afin q</w:t>
      </w:r>
      <w:r w:rsidR="00D76478" w:rsidRPr="00E61438">
        <w:rPr>
          <w:rFonts w:ascii="Arial Narrow" w:hAnsi="Arial Narrow"/>
        </w:rPr>
        <w:t>ue la</w:t>
      </w:r>
      <w:r w:rsidR="00FA2F74" w:rsidRPr="00E61438">
        <w:rPr>
          <w:rFonts w:ascii="Arial Narrow" w:hAnsi="Arial Narrow"/>
          <w:i/>
        </w:rPr>
        <w:t xml:space="preserve"> Politique pour l’intégration à la nation québécoise </w:t>
      </w:r>
      <w:r w:rsidR="00FA2F74" w:rsidRPr="00E61438">
        <w:rPr>
          <w:rFonts w:ascii="Arial Narrow" w:hAnsi="Arial Narrow"/>
        </w:rPr>
        <w:t>n’entraîne pas</w:t>
      </w:r>
      <w:r w:rsidR="00D76478" w:rsidRPr="00E61438">
        <w:rPr>
          <w:rFonts w:ascii="Arial Narrow" w:hAnsi="Arial Narrow"/>
        </w:rPr>
        <w:t xml:space="preserve"> l’imposition de nouvelles c</w:t>
      </w:r>
      <w:r w:rsidRPr="00E61438">
        <w:rPr>
          <w:rFonts w:ascii="Arial Narrow" w:hAnsi="Arial Narrow"/>
        </w:rPr>
        <w:t>onditions aux groupes dont ils souhaitent soutenir les projets.</w:t>
      </w:r>
    </w:p>
    <w:p w14:paraId="1BC79DD2" w14:textId="77777777" w:rsidR="00E61438" w:rsidRPr="00E61438" w:rsidRDefault="00E61438" w:rsidP="00E61438">
      <w:pPr>
        <w:tabs>
          <w:tab w:val="left" w:pos="142"/>
        </w:tabs>
        <w:spacing w:before="100" w:beforeAutospacing="1" w:after="100" w:afterAutospacing="1" w:line="240" w:lineRule="auto"/>
        <w:jc w:val="center"/>
        <w:rPr>
          <w:rFonts w:ascii="Arial Narrow" w:eastAsia="Arial Narrow" w:hAnsi="Arial Narrow" w:cstheme="minorHAnsi"/>
          <w:b/>
          <w:sz w:val="22"/>
          <w:szCs w:val="22"/>
        </w:rPr>
      </w:pPr>
      <w:r w:rsidRPr="00E61438">
        <w:rPr>
          <w:rFonts w:ascii="Arial Narrow" w:eastAsia="Arial Narrow" w:hAnsi="Arial Narrow" w:cstheme="minorHAnsi"/>
          <w:b/>
          <w:sz w:val="22"/>
          <w:szCs w:val="22"/>
        </w:rPr>
        <w:t>- 30 -</w:t>
      </w:r>
    </w:p>
    <w:p w14:paraId="53FE53C9" w14:textId="77777777" w:rsidR="00E61438" w:rsidRPr="00E61438" w:rsidRDefault="00E61438" w:rsidP="00E61438">
      <w:pPr>
        <w:tabs>
          <w:tab w:val="left" w:pos="142"/>
        </w:tabs>
        <w:spacing w:before="100" w:beforeAutospacing="1" w:after="100" w:afterAutospacing="1" w:line="240" w:lineRule="auto"/>
        <w:rPr>
          <w:rFonts w:ascii="Arial Narrow" w:eastAsia="Arial Narrow" w:hAnsi="Arial Narrow" w:cstheme="minorHAnsi"/>
          <w:b/>
          <w:sz w:val="22"/>
          <w:szCs w:val="22"/>
        </w:rPr>
      </w:pPr>
      <w:r w:rsidRPr="00E61438">
        <w:rPr>
          <w:rFonts w:ascii="Arial Narrow" w:eastAsia="Arial Narrow" w:hAnsi="Arial Narrow" w:cstheme="minorHAnsi"/>
          <w:b/>
          <w:sz w:val="22"/>
          <w:szCs w:val="22"/>
        </w:rPr>
        <w:t>SOURCE :</w:t>
      </w:r>
    </w:p>
    <w:p w14:paraId="5EE11F55" w14:textId="77777777" w:rsidR="00E61438" w:rsidRPr="00E61438" w:rsidRDefault="00E61438" w:rsidP="00E61438">
      <w:pPr>
        <w:tabs>
          <w:tab w:val="left" w:pos="142"/>
        </w:tabs>
        <w:spacing w:before="100" w:beforeAutospacing="1" w:after="100" w:afterAutospacing="1" w:line="240" w:lineRule="auto"/>
        <w:jc w:val="both"/>
        <w:rPr>
          <w:rFonts w:ascii="Arial Narrow" w:hAnsi="Arial Narrow" w:cstheme="minorHAnsi"/>
          <w:sz w:val="22"/>
          <w:szCs w:val="22"/>
        </w:rPr>
      </w:pPr>
      <w:hyperlink r:id="rId11" w:history="1">
        <w:r w:rsidRPr="00E61438">
          <w:rPr>
            <w:rStyle w:val="Lienhypertexte"/>
            <w:rFonts w:ascii="Arial Narrow" w:hAnsi="Arial Narrow"/>
            <w:sz w:val="22"/>
            <w:szCs w:val="22"/>
          </w:rPr>
          <w:t xml:space="preserve">La </w:t>
        </w:r>
        <w:r w:rsidRPr="00E61438">
          <w:rPr>
            <w:rStyle w:val="Lienhypertexte"/>
            <w:rFonts w:ascii="Arial Narrow" w:eastAsia="Arial Narrow" w:hAnsi="Arial Narrow" w:cstheme="minorHAnsi"/>
            <w:sz w:val="22"/>
            <w:szCs w:val="22"/>
          </w:rPr>
          <w:t>Table des regroupements provinciaux d'organismes communautaires et bénévoles (TRPOCB),</w:t>
        </w:r>
      </w:hyperlink>
      <w:r w:rsidRPr="00E61438">
        <w:rPr>
          <w:rFonts w:ascii="Arial Narrow" w:eastAsia="Arial Narrow" w:hAnsi="Arial Narrow" w:cstheme="minorHAnsi"/>
          <w:sz w:val="22"/>
          <w:szCs w:val="22"/>
        </w:rPr>
        <w:t xml:space="preserve"> Mercédez Roberge, coordonnatrice, </w:t>
      </w:r>
      <w:hyperlink r:id="rId12" w:history="1">
        <w:r w:rsidRPr="00E61438">
          <w:rPr>
            <w:rStyle w:val="Lienhypertexte"/>
            <w:rFonts w:ascii="Arial Narrow" w:eastAsia="Arial Narrow" w:hAnsi="Arial Narrow" w:cstheme="minorHAnsi"/>
            <w:sz w:val="22"/>
            <w:szCs w:val="22"/>
          </w:rPr>
          <w:t>coordination@trpocb.org</w:t>
        </w:r>
      </w:hyperlink>
      <w:r w:rsidRPr="00E61438">
        <w:rPr>
          <w:rFonts w:ascii="Arial Narrow" w:eastAsia="Arial Narrow" w:hAnsi="Arial Narrow" w:cstheme="minorHAnsi"/>
          <w:sz w:val="22"/>
          <w:szCs w:val="22"/>
        </w:rPr>
        <w:t xml:space="preserve"> ; </w:t>
      </w:r>
      <w:r w:rsidRPr="00E61438">
        <w:rPr>
          <w:rFonts w:ascii="Arial Narrow" w:hAnsi="Arial Narrow" w:cstheme="minorHAnsi"/>
          <w:sz w:val="22"/>
          <w:szCs w:val="22"/>
        </w:rPr>
        <w:t>514-690-7826</w:t>
      </w:r>
    </w:p>
    <w:p w14:paraId="7D7BED7F" w14:textId="77777777" w:rsidR="00E61438" w:rsidRPr="00E61438" w:rsidRDefault="00E61438" w:rsidP="00E61438">
      <w:pPr>
        <w:numPr>
          <w:ilvl w:val="0"/>
          <w:numId w:val="1"/>
        </w:numPr>
        <w:tabs>
          <w:tab w:val="left" w:pos="142"/>
        </w:tabs>
        <w:spacing w:before="100" w:beforeAutospacing="1" w:after="100" w:afterAutospacing="1" w:line="240" w:lineRule="auto"/>
        <w:ind w:left="142" w:hanging="142"/>
        <w:jc w:val="both"/>
        <w:rPr>
          <w:rFonts w:ascii="Arial Narrow" w:eastAsia="Arial Narrow" w:hAnsi="Arial Narrow" w:cstheme="minorHAnsi"/>
          <w:sz w:val="22"/>
          <w:szCs w:val="22"/>
        </w:rPr>
      </w:pPr>
      <w:r w:rsidRPr="00E61438">
        <w:rPr>
          <w:rFonts w:ascii="Arial Narrow" w:eastAsia="Arial Narrow" w:hAnsi="Arial Narrow" w:cstheme="minorHAnsi"/>
          <w:sz w:val="22"/>
          <w:szCs w:val="22"/>
        </w:rPr>
        <w:t xml:space="preserve">Stéphanie Vallée est présidente de la Table des regroupements provinciaux d’organismes communautaires et bénévoles. Elle est également </w:t>
      </w:r>
      <w:proofErr w:type="spellStart"/>
      <w:r w:rsidRPr="00E61438">
        <w:rPr>
          <w:rFonts w:ascii="Arial Narrow" w:eastAsia="Arial Narrow" w:hAnsi="Arial Narrow" w:cstheme="minorHAnsi"/>
          <w:sz w:val="22"/>
          <w:szCs w:val="22"/>
        </w:rPr>
        <w:t>co</w:t>
      </w:r>
      <w:proofErr w:type="spellEnd"/>
      <w:r w:rsidRPr="00E61438">
        <w:rPr>
          <w:rFonts w:ascii="Arial Narrow" w:eastAsia="Arial Narrow" w:hAnsi="Arial Narrow" w:cstheme="minorHAnsi"/>
          <w:sz w:val="22"/>
          <w:szCs w:val="22"/>
        </w:rPr>
        <w:t xml:space="preserve">-coordonnatrice de </w:t>
      </w:r>
      <w:hyperlink r:id="rId13" w:history="1">
        <w:r w:rsidRPr="00E61438">
          <w:rPr>
            <w:rStyle w:val="Lienhypertexte"/>
            <w:rFonts w:ascii="Arial Narrow" w:eastAsia="Arial Narrow" w:hAnsi="Arial Narrow" w:cstheme="minorHAnsi"/>
            <w:sz w:val="22"/>
            <w:szCs w:val="22"/>
          </w:rPr>
          <w:t>L’R des centres de femmes du Québec</w:t>
        </w:r>
      </w:hyperlink>
      <w:r w:rsidRPr="00E61438">
        <w:rPr>
          <w:rFonts w:ascii="Arial Narrow" w:eastAsia="Arial Narrow" w:hAnsi="Arial Narrow" w:cstheme="minorHAnsi"/>
          <w:sz w:val="22"/>
          <w:szCs w:val="22"/>
        </w:rPr>
        <w:t>.</w:t>
      </w:r>
    </w:p>
    <w:p w14:paraId="16531760" w14:textId="77777777" w:rsidR="00E61438" w:rsidRPr="00E61438" w:rsidRDefault="00E61438" w:rsidP="00E61438">
      <w:pPr>
        <w:numPr>
          <w:ilvl w:val="0"/>
          <w:numId w:val="1"/>
        </w:numPr>
        <w:tabs>
          <w:tab w:val="left" w:pos="142"/>
        </w:tabs>
        <w:spacing w:before="100" w:beforeAutospacing="1" w:after="100" w:afterAutospacing="1" w:line="240" w:lineRule="auto"/>
        <w:ind w:left="142" w:hanging="142"/>
        <w:jc w:val="both"/>
        <w:rPr>
          <w:rFonts w:ascii="Arial Narrow" w:eastAsia="Arial Narrow" w:hAnsi="Arial Narrow" w:cstheme="minorHAnsi"/>
          <w:sz w:val="22"/>
          <w:szCs w:val="22"/>
        </w:rPr>
      </w:pPr>
      <w:r w:rsidRPr="00E61438">
        <w:rPr>
          <w:rFonts w:ascii="Arial Narrow" w:eastAsia="Arial Narrow" w:hAnsi="Arial Narrow" w:cstheme="minorHAnsi"/>
          <w:sz w:val="22"/>
          <w:szCs w:val="22"/>
        </w:rPr>
        <w:t xml:space="preserve">Mercédez Roberge est coordonnatrice de la </w:t>
      </w:r>
      <w:hyperlink r:id="rId14">
        <w:r w:rsidRPr="00E61438">
          <w:rPr>
            <w:rFonts w:ascii="Arial Narrow" w:eastAsia="Arial Narrow" w:hAnsi="Arial Narrow" w:cstheme="minorHAnsi"/>
            <w:color w:val="0000FF"/>
            <w:sz w:val="22"/>
            <w:szCs w:val="22"/>
            <w:u w:val="single"/>
          </w:rPr>
          <w:t>Table des regroupements provinciaux d’organismes communautaires et bénévoles</w:t>
        </w:r>
      </w:hyperlink>
      <w:r w:rsidRPr="00E61438">
        <w:rPr>
          <w:rFonts w:ascii="Arial Narrow" w:eastAsia="Arial Narrow" w:hAnsi="Arial Narrow" w:cstheme="minorHAnsi"/>
          <w:color w:val="0000FF"/>
          <w:sz w:val="22"/>
          <w:szCs w:val="22"/>
          <w:u w:val="single"/>
        </w:rPr>
        <w:t>.</w:t>
      </w:r>
    </w:p>
    <w:p w14:paraId="0CB489A2" w14:textId="77777777" w:rsidR="00E61438" w:rsidRPr="00E61438" w:rsidRDefault="00E61438" w:rsidP="00E61438">
      <w:pPr>
        <w:widowControl w:val="0"/>
        <w:pBdr>
          <w:top w:val="nil"/>
          <w:left w:val="nil"/>
          <w:bottom w:val="nil"/>
          <w:right w:val="nil"/>
          <w:between w:val="nil"/>
        </w:pBdr>
        <w:tabs>
          <w:tab w:val="left" w:pos="142"/>
        </w:tabs>
        <w:spacing w:before="100" w:beforeAutospacing="1" w:after="100" w:afterAutospacing="1" w:line="240" w:lineRule="auto"/>
        <w:ind w:right="-519"/>
        <w:jc w:val="both"/>
        <w:rPr>
          <w:rFonts w:ascii="Arial Narrow" w:eastAsia="Arial Narrow" w:hAnsi="Arial Narrow" w:cstheme="minorHAnsi"/>
          <w:b/>
          <w:color w:val="000000"/>
          <w:sz w:val="22"/>
          <w:szCs w:val="22"/>
        </w:rPr>
      </w:pPr>
    </w:p>
    <w:p w14:paraId="0510B178" w14:textId="77777777" w:rsidR="00E61438" w:rsidRPr="00E61438" w:rsidRDefault="00E61438" w:rsidP="00E61438">
      <w:pPr>
        <w:widowControl w:val="0"/>
        <w:pBdr>
          <w:top w:val="nil"/>
          <w:left w:val="nil"/>
          <w:bottom w:val="nil"/>
          <w:right w:val="nil"/>
          <w:between w:val="nil"/>
        </w:pBdr>
        <w:tabs>
          <w:tab w:val="left" w:pos="142"/>
        </w:tabs>
        <w:spacing w:before="100" w:beforeAutospacing="1" w:after="100" w:afterAutospacing="1" w:line="240" w:lineRule="auto"/>
        <w:ind w:right="-519"/>
        <w:jc w:val="both"/>
        <w:rPr>
          <w:rFonts w:ascii="Arial Narrow" w:eastAsia="Arial Narrow" w:hAnsi="Arial Narrow" w:cstheme="minorHAnsi"/>
          <w:b/>
          <w:color w:val="000000"/>
          <w:sz w:val="22"/>
          <w:szCs w:val="22"/>
        </w:rPr>
      </w:pPr>
      <w:r w:rsidRPr="00E61438">
        <w:rPr>
          <w:rFonts w:ascii="Arial Narrow" w:eastAsia="Arial Narrow" w:hAnsi="Arial Narrow" w:cstheme="minorHAnsi"/>
          <w:b/>
          <w:color w:val="000000"/>
          <w:sz w:val="22"/>
          <w:szCs w:val="22"/>
        </w:rPr>
        <w:t xml:space="preserve">À propos </w:t>
      </w:r>
    </w:p>
    <w:p w14:paraId="6C75031C" w14:textId="77777777" w:rsidR="00E61438" w:rsidRPr="00E61438" w:rsidRDefault="00E61438" w:rsidP="00E61438">
      <w:pPr>
        <w:widowControl w:val="0"/>
        <w:pBdr>
          <w:top w:val="nil"/>
          <w:left w:val="nil"/>
          <w:bottom w:val="nil"/>
          <w:right w:val="nil"/>
          <w:between w:val="nil"/>
        </w:pBdr>
        <w:tabs>
          <w:tab w:val="left" w:pos="142"/>
          <w:tab w:val="left" w:pos="5954"/>
        </w:tabs>
        <w:spacing w:before="100" w:beforeAutospacing="1" w:after="100" w:afterAutospacing="1" w:line="240" w:lineRule="auto"/>
        <w:ind w:right="-519"/>
        <w:jc w:val="both"/>
        <w:rPr>
          <w:rFonts w:ascii="Arial Narrow" w:eastAsia="Arial Narrow" w:hAnsi="Arial Narrow" w:cstheme="minorHAnsi"/>
          <w:color w:val="000000"/>
          <w:sz w:val="22"/>
          <w:szCs w:val="22"/>
        </w:rPr>
      </w:pPr>
      <w:r w:rsidRPr="00E61438">
        <w:rPr>
          <w:rFonts w:ascii="Arial Narrow" w:eastAsia="Arial Narrow" w:hAnsi="Arial Narrow" w:cstheme="minorHAnsi"/>
          <w:color w:val="000000"/>
          <w:sz w:val="22"/>
          <w:szCs w:val="22"/>
        </w:rPr>
        <w:t xml:space="preserve">Fondée en 1995, la </w:t>
      </w:r>
      <w:hyperlink r:id="rId15">
        <w:r w:rsidRPr="00E61438">
          <w:rPr>
            <w:rFonts w:ascii="Arial Narrow" w:eastAsia="Arial Narrow" w:hAnsi="Arial Narrow" w:cstheme="minorHAnsi"/>
            <w:color w:val="0000FF"/>
            <w:sz w:val="22"/>
            <w:szCs w:val="22"/>
            <w:u w:val="single"/>
          </w:rPr>
          <w:t>Table des regroupements provinciaux d’organismes communautaires et bénévoles</w:t>
        </w:r>
      </w:hyperlink>
      <w:r w:rsidRPr="00E61438">
        <w:rPr>
          <w:rFonts w:ascii="Arial Narrow" w:eastAsia="Arial Narrow" w:hAnsi="Arial Narrow" w:cstheme="minorHAnsi"/>
          <w:sz w:val="22"/>
          <w:szCs w:val="22"/>
        </w:rPr>
        <w:t xml:space="preserve"> </w:t>
      </w:r>
      <w:r w:rsidRPr="00E61438">
        <w:rPr>
          <w:rFonts w:ascii="Arial Narrow" w:eastAsia="Arial Narrow" w:hAnsi="Arial Narrow" w:cstheme="minorHAnsi"/>
          <w:color w:val="000000"/>
          <w:sz w:val="22"/>
          <w:szCs w:val="22"/>
        </w:rPr>
        <w:t xml:space="preserve">(TRPOCB) est formée de </w:t>
      </w:r>
      <w:hyperlink r:id="rId16">
        <w:r w:rsidRPr="00E61438">
          <w:rPr>
            <w:rFonts w:ascii="Arial Narrow" w:eastAsia="Arial Narrow" w:hAnsi="Arial Narrow" w:cstheme="minorHAnsi"/>
            <w:color w:val="0000FF"/>
            <w:sz w:val="22"/>
            <w:szCs w:val="22"/>
            <w:u w:val="single"/>
          </w:rPr>
          <w:t>49 regroupements nationaux</w:t>
        </w:r>
      </w:hyperlink>
      <w:r w:rsidRPr="00E61438">
        <w:rPr>
          <w:rFonts w:ascii="Arial Narrow" w:eastAsia="Arial Narrow" w:hAnsi="Arial Narrow" w:cstheme="minorHAnsi"/>
          <w:sz w:val="22"/>
          <w:szCs w:val="22"/>
        </w:rPr>
        <w:t>,</w:t>
      </w:r>
      <w:r w:rsidRPr="00E61438">
        <w:rPr>
          <w:rFonts w:ascii="Arial Narrow" w:eastAsia="Arial Narrow" w:hAnsi="Arial Narrow" w:cstheme="minorHAnsi"/>
          <w:color w:val="000000"/>
          <w:sz w:val="22"/>
          <w:szCs w:val="22"/>
        </w:rPr>
        <w:t xml:space="preserve"> rejoignant plus de 3 000 groupes communautaires autonomes à travers le Québec. Ce sont, par exemple, des maisons de jeunes, des centres de femmes, des cuisines collectives, des maisons d’hébergement, des groupes d’entraide, des centres communautaires, des groupes qui luttent contre des injustices </w:t>
      </w:r>
      <w:proofErr w:type="gramStart"/>
      <w:r w:rsidRPr="00E61438">
        <w:rPr>
          <w:rFonts w:ascii="Arial Narrow" w:eastAsia="Arial Narrow" w:hAnsi="Arial Narrow" w:cstheme="minorHAnsi"/>
          <w:color w:val="000000"/>
          <w:sz w:val="22"/>
          <w:szCs w:val="22"/>
        </w:rPr>
        <w:t>ayant</w:t>
      </w:r>
      <w:proofErr w:type="gramEnd"/>
      <w:r w:rsidRPr="00E61438">
        <w:rPr>
          <w:rFonts w:ascii="Arial Narrow" w:eastAsia="Arial Narrow" w:hAnsi="Arial Narrow" w:cstheme="minorHAnsi"/>
          <w:color w:val="000000"/>
          <w:sz w:val="22"/>
          <w:szCs w:val="22"/>
        </w:rPr>
        <w:t xml:space="preserve"> des répercussions sur la santé. Ceux-ci représentent les ¾ des organismes </w:t>
      </w:r>
      <w:r w:rsidRPr="00E61438">
        <w:rPr>
          <w:rFonts w:ascii="Arial Narrow" w:eastAsia="Arial Narrow" w:hAnsi="Arial Narrow" w:cstheme="minorHAnsi"/>
          <w:sz w:val="22"/>
          <w:szCs w:val="22"/>
        </w:rPr>
        <w:t>communautaires</w:t>
      </w:r>
      <w:r w:rsidRPr="00E61438">
        <w:rPr>
          <w:rFonts w:ascii="Arial Narrow" w:eastAsia="Arial Narrow" w:hAnsi="Arial Narrow" w:cstheme="minorHAnsi"/>
          <w:color w:val="000000"/>
          <w:sz w:val="22"/>
          <w:szCs w:val="22"/>
        </w:rPr>
        <w:t xml:space="preserve"> autonomes du Québec. Ceux-ci abordent la santé et les services sociaux sous différentes perspectives : femmes, jeunes, hébergement, famille, personnes handicapées, communautés ethnoculturelles, sécurité alimentaire, santé mentale, violence, </w:t>
      </w:r>
      <w:r w:rsidRPr="00E61438">
        <w:rPr>
          <w:rFonts w:ascii="Arial Narrow" w:eastAsia="Arial Narrow" w:hAnsi="Arial Narrow" w:cstheme="minorHAnsi"/>
          <w:b/>
          <w:noProof/>
          <w:color w:val="000000"/>
          <w:sz w:val="22"/>
          <w:szCs w:val="22"/>
        </w:rPr>
        <w:drawing>
          <wp:anchor distT="0" distB="0" distL="114300" distR="114300" simplePos="0" relativeHeight="251660288" behindDoc="0" locked="1" layoutInCell="1" allowOverlap="1" wp14:anchorId="4F06D486" wp14:editId="0790DEEB">
            <wp:simplePos x="0" y="0"/>
            <wp:positionH relativeFrom="page">
              <wp:posOffset>819150</wp:posOffset>
            </wp:positionH>
            <wp:positionV relativeFrom="paragraph">
              <wp:posOffset>1445260</wp:posOffset>
            </wp:positionV>
            <wp:extent cx="6447155" cy="2267585"/>
            <wp:effectExtent l="0" t="0" r="0" b="0"/>
            <wp:wrapTopAndBottom/>
            <wp:docPr id="1347706453" name="Image 3" descr="Une image contenant texte, capture d’écran,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706453" name="Image 3" descr="Une image contenant texte, capture d’écran, Police&#10;&#10;Le contenu généré par l’IA peut êtr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447155" cy="2267585"/>
                    </a:xfrm>
                    <a:prstGeom prst="rect">
                      <a:avLst/>
                    </a:prstGeom>
                  </pic:spPr>
                </pic:pic>
              </a:graphicData>
            </a:graphic>
            <wp14:sizeRelH relativeFrom="margin">
              <wp14:pctWidth>0</wp14:pctWidth>
            </wp14:sizeRelH>
            <wp14:sizeRelV relativeFrom="margin">
              <wp14:pctHeight>0</wp14:pctHeight>
            </wp14:sizeRelV>
          </wp:anchor>
        </w:drawing>
      </w:r>
      <w:r w:rsidRPr="00E61438">
        <w:rPr>
          <w:rFonts w:ascii="Arial Narrow" w:eastAsia="Arial Narrow" w:hAnsi="Arial Narrow" w:cstheme="minorHAnsi"/>
          <w:color w:val="000000"/>
          <w:sz w:val="22"/>
          <w:szCs w:val="22"/>
        </w:rPr>
        <w:t>périnatalité, toxicomanie, etc.</w:t>
      </w:r>
    </w:p>
    <w:p w14:paraId="6005440D" w14:textId="77777777" w:rsidR="00E61438" w:rsidRPr="00E61438" w:rsidRDefault="00E61438" w:rsidP="00E61438">
      <w:pPr>
        <w:widowControl w:val="0"/>
        <w:pBdr>
          <w:top w:val="nil"/>
          <w:left w:val="nil"/>
          <w:bottom w:val="nil"/>
          <w:right w:val="nil"/>
          <w:between w:val="nil"/>
        </w:pBdr>
        <w:tabs>
          <w:tab w:val="left" w:pos="142"/>
        </w:tabs>
        <w:spacing w:before="100" w:beforeAutospacing="1" w:after="100" w:afterAutospacing="1" w:line="240" w:lineRule="auto"/>
        <w:ind w:right="-519"/>
        <w:jc w:val="both"/>
        <w:rPr>
          <w:rFonts w:ascii="Arial Narrow" w:eastAsia="Arial Narrow" w:hAnsi="Arial Narrow" w:cstheme="minorHAnsi"/>
          <w:b/>
          <w:color w:val="000000"/>
          <w:sz w:val="22"/>
          <w:szCs w:val="22"/>
        </w:rPr>
      </w:pPr>
    </w:p>
    <w:p w14:paraId="4510A2BB" w14:textId="77777777" w:rsidR="00E61438" w:rsidRPr="00E61438" w:rsidRDefault="00E61438" w:rsidP="00E61438">
      <w:pPr>
        <w:tabs>
          <w:tab w:val="left" w:pos="142"/>
        </w:tabs>
        <w:spacing w:before="100" w:beforeAutospacing="1" w:after="100" w:afterAutospacing="1" w:line="240" w:lineRule="auto"/>
        <w:ind w:right="-574"/>
        <w:jc w:val="both"/>
        <w:rPr>
          <w:rFonts w:ascii="Arial Narrow" w:eastAsia="Times New Roman" w:hAnsi="Arial Narrow" w:cstheme="minorHAnsi"/>
          <w:sz w:val="22"/>
          <w:szCs w:val="22"/>
        </w:rPr>
      </w:pPr>
      <w:r w:rsidRPr="00E61438">
        <w:rPr>
          <w:rFonts w:ascii="Arial Narrow" w:eastAsia="Arial Narrow" w:hAnsi="Arial Narrow" w:cstheme="minorHAnsi"/>
          <w:b/>
          <w:i/>
          <w:noProof/>
          <w:color w:val="000000"/>
          <w:sz w:val="22"/>
          <w:szCs w:val="22"/>
        </w:rPr>
        <w:drawing>
          <wp:anchor distT="0" distB="0" distL="114300" distR="114300" simplePos="0" relativeHeight="251659264" behindDoc="0" locked="1" layoutInCell="1" allowOverlap="1" wp14:anchorId="1AAADCBE" wp14:editId="27E32E28">
            <wp:simplePos x="0" y="0"/>
            <wp:positionH relativeFrom="column">
              <wp:posOffset>224155</wp:posOffset>
            </wp:positionH>
            <wp:positionV relativeFrom="paragraph">
              <wp:posOffset>64770</wp:posOffset>
            </wp:positionV>
            <wp:extent cx="2314575" cy="1481455"/>
            <wp:effectExtent l="0" t="0" r="9525" b="4445"/>
            <wp:wrapSquare wrapText="bothSides"/>
            <wp:docPr id="1252079809" name="Image 1" descr="Une image contenant texte, Police, capture d’écran,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079809" name="Image 1" descr="Une image contenant texte, Police, capture d’écran, logo&#10;&#10;Le contenu généré par l’IA peut être incorrect."/>
                    <pic:cNvPicPr/>
                  </pic:nvPicPr>
                  <pic:blipFill>
                    <a:blip r:embed="rId18">
                      <a:extLst>
                        <a:ext uri="{28A0092B-C50C-407E-A947-70E740481C1C}">
                          <a14:useLocalDpi xmlns:a14="http://schemas.microsoft.com/office/drawing/2010/main" val="0"/>
                        </a:ext>
                      </a:extLst>
                    </a:blip>
                    <a:stretch>
                      <a:fillRect/>
                    </a:stretch>
                  </pic:blipFill>
                  <pic:spPr>
                    <a:xfrm>
                      <a:off x="0" y="0"/>
                      <a:ext cx="2314575" cy="1481455"/>
                    </a:xfrm>
                    <a:prstGeom prst="rect">
                      <a:avLst/>
                    </a:prstGeom>
                  </pic:spPr>
                </pic:pic>
              </a:graphicData>
            </a:graphic>
            <wp14:sizeRelH relativeFrom="margin">
              <wp14:pctWidth>0</wp14:pctWidth>
            </wp14:sizeRelH>
            <wp14:sizeRelV relativeFrom="margin">
              <wp14:pctHeight>0</wp14:pctHeight>
            </wp14:sizeRelV>
          </wp:anchor>
        </w:drawing>
      </w:r>
      <w:r w:rsidRPr="00E61438">
        <w:rPr>
          <w:rFonts w:ascii="Arial Narrow" w:eastAsia="Arial Narrow" w:hAnsi="Arial Narrow" w:cstheme="minorHAnsi"/>
          <w:color w:val="000000"/>
          <w:sz w:val="22"/>
          <w:szCs w:val="22"/>
        </w:rPr>
        <w:t xml:space="preserve">La Table coordonne la </w:t>
      </w:r>
      <w:hyperlink r:id="rId19">
        <w:r w:rsidRPr="00E61438">
          <w:rPr>
            <w:rFonts w:ascii="Arial Narrow" w:eastAsia="Arial Narrow" w:hAnsi="Arial Narrow" w:cstheme="minorHAnsi"/>
            <w:color w:val="0000FF"/>
            <w:sz w:val="22"/>
            <w:szCs w:val="22"/>
            <w:u w:val="single"/>
          </w:rPr>
          <w:t xml:space="preserve">campagne </w:t>
        </w:r>
      </w:hyperlink>
      <w:hyperlink r:id="rId20">
        <w:r w:rsidRPr="00E61438">
          <w:rPr>
            <w:rFonts w:ascii="Arial Narrow" w:eastAsia="Arial Narrow" w:hAnsi="Arial Narrow" w:cstheme="minorHAnsi"/>
            <w:i/>
            <w:color w:val="0000FF"/>
            <w:sz w:val="22"/>
            <w:szCs w:val="22"/>
            <w:u w:val="single"/>
          </w:rPr>
          <w:t>CA$$$H</w:t>
        </w:r>
      </w:hyperlink>
      <w:hyperlink r:id="rId21">
        <w:r w:rsidRPr="00E61438">
          <w:rPr>
            <w:rFonts w:ascii="Arial Narrow" w:eastAsia="Arial Narrow" w:hAnsi="Arial Narrow" w:cstheme="minorHAnsi"/>
            <w:color w:val="0000FF"/>
            <w:sz w:val="22"/>
            <w:szCs w:val="22"/>
            <w:u w:val="single"/>
          </w:rPr>
          <w:t xml:space="preserve"> (Communautaire autonome en santé et services sociaux – Haussez le financement</w:t>
        </w:r>
      </w:hyperlink>
      <w:r w:rsidRPr="00E61438">
        <w:rPr>
          <w:rFonts w:ascii="Arial Narrow" w:eastAsia="Arial Narrow" w:hAnsi="Arial Narrow" w:cstheme="minorHAnsi"/>
          <w:sz w:val="22"/>
          <w:szCs w:val="22"/>
        </w:rPr>
        <w:t xml:space="preserve">). </w:t>
      </w:r>
      <w:r w:rsidRPr="00E61438">
        <w:rPr>
          <w:rFonts w:ascii="Arial Narrow" w:eastAsia="Arial Narrow" w:hAnsi="Arial Narrow" w:cstheme="minorHAnsi"/>
          <w:color w:val="000000"/>
          <w:sz w:val="22"/>
          <w:szCs w:val="22"/>
        </w:rPr>
        <w:t xml:space="preserve">Lancée le 17 octobre 2017, cette campagne vise l’amélioration substantielle du Programme de soutien aux organismes communautaires (PSOC) du ministère de la Santé et des Services sociaux (MSSS), au bénéfice de plus de 3 000 organismes communautaires autonomes subventionnés par le MSSS. Depuis 2024, les revendications de la campagne </w:t>
      </w:r>
      <w:r w:rsidRPr="00E61438">
        <w:rPr>
          <w:rFonts w:ascii="Arial Narrow" w:eastAsia="Arial Narrow" w:hAnsi="Arial Narrow" w:cstheme="minorHAnsi"/>
          <w:i/>
          <w:iCs/>
          <w:color w:val="000000"/>
          <w:sz w:val="22"/>
          <w:szCs w:val="22"/>
        </w:rPr>
        <w:t>CA$$$H</w:t>
      </w:r>
      <w:r w:rsidRPr="00E61438">
        <w:rPr>
          <w:rFonts w:ascii="Arial Narrow" w:eastAsia="Arial Narrow" w:hAnsi="Arial Narrow" w:cstheme="minorHAnsi"/>
          <w:color w:val="000000"/>
          <w:sz w:val="22"/>
          <w:szCs w:val="22"/>
        </w:rPr>
        <w:t xml:space="preserve"> sont :</w:t>
      </w:r>
      <w:r w:rsidRPr="00E61438">
        <w:rPr>
          <w:rFonts w:ascii="Arial Narrow" w:eastAsia="Times New Roman" w:hAnsi="Arial Narrow" w:cstheme="minorHAnsi"/>
          <w:sz w:val="22"/>
          <w:szCs w:val="22"/>
        </w:rPr>
        <w:t xml:space="preserve"> L’ajout </w:t>
      </w:r>
      <w:hyperlink r:id="rId22" w:history="1">
        <w:r w:rsidRPr="00E61438">
          <w:rPr>
            <w:rFonts w:ascii="Arial Narrow" w:eastAsia="Times New Roman" w:hAnsi="Arial Narrow" w:cstheme="minorHAnsi"/>
            <w:color w:val="0000FF"/>
            <w:sz w:val="22"/>
            <w:szCs w:val="22"/>
            <w:u w:val="single"/>
          </w:rPr>
          <w:t>de 1,7 G$ à l’enveloppe annuelle du PSOC</w:t>
        </w:r>
      </w:hyperlink>
      <w:r w:rsidRPr="00E61438">
        <w:rPr>
          <w:rFonts w:ascii="Arial Narrow" w:eastAsia="Times New Roman" w:hAnsi="Arial Narrow" w:cstheme="minorHAnsi"/>
          <w:sz w:val="22"/>
          <w:szCs w:val="22"/>
        </w:rPr>
        <w:t xml:space="preserve"> (mission globale), l’indexation annuelle des subventions en fonction de </w:t>
      </w:r>
      <w:hyperlink r:id="rId23" w:history="1">
        <w:r w:rsidRPr="00E61438">
          <w:rPr>
            <w:rFonts w:ascii="Arial Narrow" w:eastAsia="Times New Roman" w:hAnsi="Arial Narrow" w:cstheme="minorHAnsi"/>
            <w:color w:val="0000FF"/>
            <w:sz w:val="22"/>
            <w:szCs w:val="22"/>
            <w:u w:val="single"/>
          </w:rPr>
          <w:t>l’Indice des coûts de fonctionnement du communautaire (ICFC</w:t>
        </w:r>
      </w:hyperlink>
      <w:r w:rsidRPr="00E61438">
        <w:rPr>
          <w:rFonts w:ascii="Arial Narrow" w:eastAsia="Times New Roman" w:hAnsi="Arial Narrow" w:cstheme="minorHAnsi"/>
          <w:sz w:val="22"/>
          <w:szCs w:val="22"/>
        </w:rPr>
        <w:t>) et l’atteinte de</w:t>
      </w:r>
      <w:hyperlink r:id="rId24" w:history="1">
        <w:r w:rsidRPr="00E61438">
          <w:rPr>
            <w:rFonts w:ascii="Arial Narrow" w:eastAsia="Times New Roman" w:hAnsi="Arial Narrow" w:cstheme="minorHAnsi"/>
            <w:color w:val="0000FF"/>
            <w:sz w:val="22"/>
            <w:szCs w:val="22"/>
            <w:u w:val="single"/>
          </w:rPr>
          <w:t xml:space="preserve"> l’équité de financement et de traitement partout au Québec</w:t>
        </w:r>
      </w:hyperlink>
      <w:r w:rsidRPr="00E61438">
        <w:rPr>
          <w:rFonts w:ascii="Arial Narrow" w:eastAsia="Times New Roman" w:hAnsi="Arial Narrow" w:cstheme="minorHAnsi"/>
          <w:sz w:val="22"/>
          <w:szCs w:val="22"/>
        </w:rPr>
        <w:t>.</w:t>
      </w:r>
    </w:p>
    <w:p w14:paraId="2A3FAB03" w14:textId="77777777" w:rsidR="00E61438" w:rsidRPr="00E61438" w:rsidRDefault="00E61438" w:rsidP="00E61438">
      <w:pPr>
        <w:tabs>
          <w:tab w:val="left" w:pos="142"/>
        </w:tabs>
        <w:spacing w:before="100" w:beforeAutospacing="1" w:after="100" w:afterAutospacing="1" w:line="240" w:lineRule="auto"/>
        <w:ind w:left="360"/>
        <w:jc w:val="both"/>
        <w:rPr>
          <w:rFonts w:ascii="Arial Narrow" w:eastAsia="Times New Roman" w:hAnsi="Arial Narrow" w:cstheme="minorHAnsi"/>
          <w:sz w:val="22"/>
          <w:szCs w:val="22"/>
        </w:rPr>
      </w:pPr>
    </w:p>
    <w:p w14:paraId="67906C14" w14:textId="77777777" w:rsidR="00E61438" w:rsidRPr="00E61438" w:rsidRDefault="00E61438" w:rsidP="00E61438">
      <w:pPr>
        <w:tabs>
          <w:tab w:val="left" w:pos="142"/>
        </w:tabs>
        <w:spacing w:before="100" w:beforeAutospacing="1" w:after="100" w:afterAutospacing="1" w:line="240" w:lineRule="auto"/>
        <w:jc w:val="both"/>
        <w:rPr>
          <w:rFonts w:ascii="Arial Narrow" w:hAnsi="Arial Narrow" w:cstheme="minorHAnsi"/>
          <w:sz w:val="22"/>
          <w:szCs w:val="22"/>
        </w:rPr>
      </w:pPr>
    </w:p>
    <w:p w14:paraId="2A8F1AE0" w14:textId="77777777" w:rsidR="00E61438" w:rsidRPr="00E61438" w:rsidRDefault="00E61438" w:rsidP="00E61438">
      <w:pPr>
        <w:pStyle w:val="Default"/>
        <w:tabs>
          <w:tab w:val="left" w:pos="142"/>
        </w:tabs>
        <w:jc w:val="both"/>
        <w:rPr>
          <w:rFonts w:ascii="Arial Narrow" w:hAnsi="Arial Narrow" w:cstheme="minorHAnsi"/>
          <w:sz w:val="22"/>
          <w:szCs w:val="22"/>
        </w:rPr>
      </w:pPr>
    </w:p>
    <w:p w14:paraId="6E2BA78C" w14:textId="77777777" w:rsidR="00E61438" w:rsidRPr="00E61438" w:rsidRDefault="00E61438" w:rsidP="007C4EE3">
      <w:pPr>
        <w:spacing w:before="100" w:beforeAutospacing="1" w:after="100" w:afterAutospacing="1" w:line="240" w:lineRule="auto"/>
        <w:rPr>
          <w:rFonts w:ascii="Arial Narrow" w:hAnsi="Arial Narrow"/>
        </w:rPr>
      </w:pPr>
    </w:p>
    <w:sectPr w:rsidR="00E61438" w:rsidRPr="00E61438">
      <w:headerReference w:type="default" r:id="rId25"/>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C2BC6" w14:textId="77777777" w:rsidR="008E5FE8" w:rsidRDefault="008E5FE8" w:rsidP="003D77A6">
      <w:pPr>
        <w:spacing w:after="0" w:line="240" w:lineRule="auto"/>
      </w:pPr>
      <w:r>
        <w:separator/>
      </w:r>
    </w:p>
  </w:endnote>
  <w:endnote w:type="continuationSeparator" w:id="0">
    <w:p w14:paraId="2BA38835" w14:textId="77777777" w:rsidR="008E5FE8" w:rsidRDefault="008E5FE8" w:rsidP="003D7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992F4" w14:textId="77777777" w:rsidR="008E5FE8" w:rsidRDefault="008E5FE8" w:rsidP="003D77A6">
      <w:pPr>
        <w:spacing w:after="0" w:line="240" w:lineRule="auto"/>
      </w:pPr>
      <w:r>
        <w:separator/>
      </w:r>
    </w:p>
  </w:footnote>
  <w:footnote w:type="continuationSeparator" w:id="0">
    <w:p w14:paraId="57CD01D7" w14:textId="77777777" w:rsidR="008E5FE8" w:rsidRDefault="008E5FE8" w:rsidP="003D7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7EAB9" w14:textId="3EA8023A" w:rsidR="003D77A6" w:rsidRDefault="00E61438" w:rsidP="00E61438">
    <w:pPr>
      <w:pStyle w:val="En-tte"/>
      <w:jc w:val="center"/>
    </w:pPr>
    <w:r>
      <w:rPr>
        <w:noProof/>
      </w:rPr>
      <w:drawing>
        <wp:inline distT="0" distB="0" distL="0" distR="0" wp14:anchorId="4E6A3E8A" wp14:editId="5CEE1B4F">
          <wp:extent cx="4155034" cy="892311"/>
          <wp:effectExtent l="0" t="0" r="0" b="3175"/>
          <wp:docPr id="714994005" name="Image 4" descr="Une image contenant texte, capture d’écran, horlog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994005" name="Image 4" descr="Une image contenant texte, capture d’écran, horloge, Police&#10;&#10;Le contenu généré par l’IA peut être incorrect."/>
                  <pic:cNvPicPr/>
                </pic:nvPicPr>
                <pic:blipFill rotWithShape="1">
                  <a:blip r:embed="rId1">
                    <a:extLst>
                      <a:ext uri="{28A0092B-C50C-407E-A947-70E740481C1C}">
                        <a14:useLocalDpi xmlns:a14="http://schemas.microsoft.com/office/drawing/2010/main" val="0"/>
                      </a:ext>
                    </a:extLst>
                  </a:blip>
                  <a:srcRect t="21608" b="13944"/>
                  <a:stretch/>
                </pic:blipFill>
                <pic:spPr bwMode="auto">
                  <a:xfrm>
                    <a:off x="0" y="0"/>
                    <a:ext cx="4192836" cy="900429"/>
                  </a:xfrm>
                  <a:prstGeom prst="rect">
                    <a:avLst/>
                  </a:prstGeom>
                  <a:ln>
                    <a:noFill/>
                  </a:ln>
                  <a:extLst>
                    <a:ext uri="{53640926-AAD7-44D8-BBD7-CCE9431645EC}">
                      <a14:shadowObscured xmlns:a14="http://schemas.microsoft.com/office/drawing/2010/main"/>
                    </a:ext>
                  </a:extLst>
                </pic:spPr>
              </pic:pic>
            </a:graphicData>
          </a:graphic>
        </wp:inline>
      </w:drawing>
    </w:r>
  </w:p>
  <w:p w14:paraId="5AA5F7B6" w14:textId="77777777" w:rsidR="00E61438" w:rsidRDefault="00E61438" w:rsidP="00E61438">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B538AD"/>
    <w:multiLevelType w:val="multilevel"/>
    <w:tmpl w:val="FD229B9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851530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AF1"/>
    <w:rsid w:val="000021C5"/>
    <w:rsid w:val="00011427"/>
    <w:rsid w:val="00053809"/>
    <w:rsid w:val="000A44D3"/>
    <w:rsid w:val="000D308C"/>
    <w:rsid w:val="001D15C5"/>
    <w:rsid w:val="001E6AF1"/>
    <w:rsid w:val="00210488"/>
    <w:rsid w:val="002664B1"/>
    <w:rsid w:val="00272AD0"/>
    <w:rsid w:val="002843C8"/>
    <w:rsid w:val="00310E2C"/>
    <w:rsid w:val="003763D8"/>
    <w:rsid w:val="003D77A6"/>
    <w:rsid w:val="00416DEF"/>
    <w:rsid w:val="00465BDF"/>
    <w:rsid w:val="00492298"/>
    <w:rsid w:val="005F609B"/>
    <w:rsid w:val="00601CA7"/>
    <w:rsid w:val="00645120"/>
    <w:rsid w:val="00687CBE"/>
    <w:rsid w:val="006D49AE"/>
    <w:rsid w:val="00706655"/>
    <w:rsid w:val="007627CE"/>
    <w:rsid w:val="007C4EE3"/>
    <w:rsid w:val="007D2EA4"/>
    <w:rsid w:val="007E1222"/>
    <w:rsid w:val="008B09BA"/>
    <w:rsid w:val="008E5FE8"/>
    <w:rsid w:val="0091658F"/>
    <w:rsid w:val="00924F60"/>
    <w:rsid w:val="00972A17"/>
    <w:rsid w:val="00990D49"/>
    <w:rsid w:val="00995BF7"/>
    <w:rsid w:val="009A74CA"/>
    <w:rsid w:val="00A77558"/>
    <w:rsid w:val="00AC04AA"/>
    <w:rsid w:val="00AE4936"/>
    <w:rsid w:val="00AF1AC5"/>
    <w:rsid w:val="00B52005"/>
    <w:rsid w:val="00B60B26"/>
    <w:rsid w:val="00C24701"/>
    <w:rsid w:val="00C25A14"/>
    <w:rsid w:val="00CB0410"/>
    <w:rsid w:val="00CE0179"/>
    <w:rsid w:val="00D43CEB"/>
    <w:rsid w:val="00D76478"/>
    <w:rsid w:val="00DA6656"/>
    <w:rsid w:val="00E61438"/>
    <w:rsid w:val="00E721E8"/>
    <w:rsid w:val="00EB49F0"/>
    <w:rsid w:val="00EC1A2A"/>
    <w:rsid w:val="00EE2D3B"/>
    <w:rsid w:val="00F35F37"/>
    <w:rsid w:val="00F36AC3"/>
    <w:rsid w:val="00F804F5"/>
    <w:rsid w:val="00F948A7"/>
    <w:rsid w:val="00FA2F7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71E0E8"/>
  <w15:docId w15:val="{7D48C620-0FFB-4328-BE61-03E9013F5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E6A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E6A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E6AF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E6AF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E6AF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E6AF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E6AF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E6AF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E6AF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E6AF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E6AF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E6AF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E6AF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E6AF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E6AF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E6AF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E6AF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E6AF1"/>
    <w:rPr>
      <w:rFonts w:eastAsiaTheme="majorEastAsia" w:cstheme="majorBidi"/>
      <w:color w:val="272727" w:themeColor="text1" w:themeTint="D8"/>
    </w:rPr>
  </w:style>
  <w:style w:type="paragraph" w:styleId="Titre">
    <w:name w:val="Title"/>
    <w:basedOn w:val="Normal"/>
    <w:next w:val="Normal"/>
    <w:link w:val="TitreCar"/>
    <w:uiPriority w:val="10"/>
    <w:qFormat/>
    <w:rsid w:val="001E6A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E6AF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E6AF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E6AF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E6AF1"/>
    <w:pPr>
      <w:spacing w:before="160"/>
      <w:jc w:val="center"/>
    </w:pPr>
    <w:rPr>
      <w:i/>
      <w:iCs/>
      <w:color w:val="404040" w:themeColor="text1" w:themeTint="BF"/>
    </w:rPr>
  </w:style>
  <w:style w:type="character" w:customStyle="1" w:styleId="CitationCar">
    <w:name w:val="Citation Car"/>
    <w:basedOn w:val="Policepardfaut"/>
    <w:link w:val="Citation"/>
    <w:uiPriority w:val="29"/>
    <w:rsid w:val="001E6AF1"/>
    <w:rPr>
      <w:i/>
      <w:iCs/>
      <w:color w:val="404040" w:themeColor="text1" w:themeTint="BF"/>
    </w:rPr>
  </w:style>
  <w:style w:type="paragraph" w:styleId="Paragraphedeliste">
    <w:name w:val="List Paragraph"/>
    <w:basedOn w:val="Normal"/>
    <w:uiPriority w:val="34"/>
    <w:qFormat/>
    <w:rsid w:val="001E6AF1"/>
    <w:pPr>
      <w:ind w:left="720"/>
      <w:contextualSpacing/>
    </w:pPr>
  </w:style>
  <w:style w:type="character" w:styleId="Accentuationintense">
    <w:name w:val="Intense Emphasis"/>
    <w:basedOn w:val="Policepardfaut"/>
    <w:uiPriority w:val="21"/>
    <w:qFormat/>
    <w:rsid w:val="001E6AF1"/>
    <w:rPr>
      <w:i/>
      <w:iCs/>
      <w:color w:val="0F4761" w:themeColor="accent1" w:themeShade="BF"/>
    </w:rPr>
  </w:style>
  <w:style w:type="paragraph" w:styleId="Citationintense">
    <w:name w:val="Intense Quote"/>
    <w:basedOn w:val="Normal"/>
    <w:next w:val="Normal"/>
    <w:link w:val="CitationintenseCar"/>
    <w:uiPriority w:val="30"/>
    <w:qFormat/>
    <w:rsid w:val="001E6A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E6AF1"/>
    <w:rPr>
      <w:i/>
      <w:iCs/>
      <w:color w:val="0F4761" w:themeColor="accent1" w:themeShade="BF"/>
    </w:rPr>
  </w:style>
  <w:style w:type="character" w:styleId="Rfrenceintense">
    <w:name w:val="Intense Reference"/>
    <w:basedOn w:val="Policepardfaut"/>
    <w:uiPriority w:val="32"/>
    <w:qFormat/>
    <w:rsid w:val="001E6AF1"/>
    <w:rPr>
      <w:b/>
      <w:bCs/>
      <w:smallCaps/>
      <w:color w:val="0F4761" w:themeColor="accent1" w:themeShade="BF"/>
      <w:spacing w:val="5"/>
    </w:rPr>
  </w:style>
  <w:style w:type="character" w:styleId="Lienhypertexte">
    <w:name w:val="Hyperlink"/>
    <w:basedOn w:val="Policepardfaut"/>
    <w:uiPriority w:val="99"/>
    <w:unhideWhenUsed/>
    <w:rsid w:val="00D43CEB"/>
    <w:rPr>
      <w:color w:val="467886" w:themeColor="hyperlink"/>
      <w:u w:val="single"/>
    </w:rPr>
  </w:style>
  <w:style w:type="paragraph" w:styleId="En-tte">
    <w:name w:val="header"/>
    <w:basedOn w:val="Normal"/>
    <w:link w:val="En-tteCar"/>
    <w:uiPriority w:val="99"/>
    <w:unhideWhenUsed/>
    <w:rsid w:val="003D77A6"/>
    <w:pPr>
      <w:tabs>
        <w:tab w:val="center" w:pos="4703"/>
        <w:tab w:val="right" w:pos="9406"/>
      </w:tabs>
      <w:spacing w:after="0" w:line="240" w:lineRule="auto"/>
    </w:pPr>
  </w:style>
  <w:style w:type="character" w:customStyle="1" w:styleId="En-tteCar">
    <w:name w:val="En-tête Car"/>
    <w:basedOn w:val="Policepardfaut"/>
    <w:link w:val="En-tte"/>
    <w:uiPriority w:val="99"/>
    <w:rsid w:val="003D77A6"/>
  </w:style>
  <w:style w:type="paragraph" w:styleId="Pieddepage">
    <w:name w:val="footer"/>
    <w:basedOn w:val="Normal"/>
    <w:link w:val="PieddepageCar"/>
    <w:uiPriority w:val="99"/>
    <w:unhideWhenUsed/>
    <w:rsid w:val="003D77A6"/>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3D77A6"/>
  </w:style>
  <w:style w:type="paragraph" w:customStyle="1" w:styleId="Default">
    <w:name w:val="Default"/>
    <w:rsid w:val="00E61438"/>
    <w:pPr>
      <w:autoSpaceDE w:val="0"/>
      <w:autoSpaceDN w:val="0"/>
      <w:adjustRightInd w:val="0"/>
      <w:spacing w:after="0" w:line="240" w:lineRule="auto"/>
    </w:pPr>
    <w:rPr>
      <w:rFonts w:ascii="Arial" w:hAnsi="Arial" w:cs="Arial"/>
      <w:color w:val="000000"/>
      <w:kern w:val="0"/>
      <w14:ligatures w14:val="none"/>
    </w:rPr>
  </w:style>
  <w:style w:type="character" w:styleId="Mentionnonrsolue">
    <w:name w:val="Unresolved Mention"/>
    <w:basedOn w:val="Policepardfaut"/>
    <w:uiPriority w:val="99"/>
    <w:semiHidden/>
    <w:unhideWhenUsed/>
    <w:rsid w:val="00F35F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wswire.ca/fr/news-releases/loi-sur-l-integration-a-la-nation-quebecoise-toujours-inacceptable-malgre-les-amendements-813813171.html" TargetMode="External"/><Relationship Id="rId13" Type="http://schemas.openxmlformats.org/officeDocument/2006/relationships/hyperlink" Target="https://rcentres.qc.ca/" TargetMode="Externa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trpocb.org/campagnecasssh/" TargetMode="External"/><Relationship Id="rId7" Type="http://schemas.openxmlformats.org/officeDocument/2006/relationships/hyperlink" Target="trpocb.org" TargetMode="External"/><Relationship Id="rId12" Type="http://schemas.openxmlformats.org/officeDocument/2006/relationships/hyperlink" Target="mailto:coordination@trpocb.org" TargetMode="External"/><Relationship Id="rId17" Type="http://schemas.openxmlformats.org/officeDocument/2006/relationships/image" Target="media/image1.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trpocb.org/membres/liste/" TargetMode="External"/><Relationship Id="rId20" Type="http://schemas.openxmlformats.org/officeDocument/2006/relationships/hyperlink" Target="http://trpocb.org/campagnecasss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a%20Table%20des%20regroupements%20provinciaux%20d'organismes%20communautaires%20et%20b&#233;n&#233;voles%20(TRPOCB)," TargetMode="External"/><Relationship Id="rId24" Type="http://schemas.openxmlformats.org/officeDocument/2006/relationships/hyperlink" Target="https://trpocb.org/seuils-planchers-campagne-casssh/" TargetMode="External"/><Relationship Id="rId5" Type="http://schemas.openxmlformats.org/officeDocument/2006/relationships/footnotes" Target="footnotes.xml"/><Relationship Id="rId15" Type="http://schemas.openxmlformats.org/officeDocument/2006/relationships/hyperlink" Target="http://trpocb.org/" TargetMode="External"/><Relationship Id="rId23" Type="http://schemas.openxmlformats.org/officeDocument/2006/relationships/hyperlink" Target="https://trpocb.org/icfc/" TargetMode="External"/><Relationship Id="rId10" Type="http://schemas.openxmlformats.org/officeDocument/2006/relationships/hyperlink" Target="https://www.newswire.ca/fr/news-releases/projet-de-loi-sur-l-integration-a-la-nation-quebecoise-quebec-adopte-son-propre-modele-d-integration-l-integration-nationale-886367169.html" TargetMode="External"/><Relationship Id="rId19" Type="http://schemas.openxmlformats.org/officeDocument/2006/relationships/hyperlink" Target="http://trpocb.org/campagnecasssh/" TargetMode="External"/><Relationship Id="rId4" Type="http://schemas.openxmlformats.org/officeDocument/2006/relationships/webSettings" Target="webSettings.xml"/><Relationship Id="rId9" Type="http://schemas.openxmlformats.org/officeDocument/2006/relationships/hyperlink" Target="https://trpocb.org/loi-integration-nationale-premiere-victoire/" TargetMode="External"/><Relationship Id="rId14" Type="http://schemas.openxmlformats.org/officeDocument/2006/relationships/hyperlink" Target="https://trpocb.org/" TargetMode="External"/><Relationship Id="rId22" Type="http://schemas.openxmlformats.org/officeDocument/2006/relationships/hyperlink" Target="https://trpocb.org/revendication-financiere-casssh/"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1080</Words>
  <Characters>5941</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Mercedez Roberge</dc:creator>
  <cp:lastModifiedBy>Jacinthe Messier</cp:lastModifiedBy>
  <cp:revision>5</cp:revision>
  <dcterms:created xsi:type="dcterms:W3CDTF">2025-05-29T16:52:00Z</dcterms:created>
  <dcterms:modified xsi:type="dcterms:W3CDTF">2025-05-29T17:19:00Z</dcterms:modified>
</cp:coreProperties>
</file>