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646A" w14:textId="010FF709" w:rsidR="00244A57" w:rsidRDefault="00221144" w:rsidP="00221144">
      <w:pPr>
        <w:pStyle w:val="Default"/>
        <w:tabs>
          <w:tab w:val="left" w:pos="142"/>
        </w:tabs>
        <w:spacing w:before="100" w:beforeAutospacing="1" w:after="100" w:afterAutospacing="1"/>
        <w:rPr>
          <w:rFonts w:ascii="Arial Narrow" w:hAnsi="Arial Narrow" w:cstheme="minorHAnsi"/>
          <w:b/>
        </w:rPr>
      </w:pPr>
      <w:r>
        <w:rPr>
          <w:rFonts w:ascii="Arial Narrow" w:hAnsi="Arial Narrow" w:cstheme="minorHAnsi"/>
          <w:b/>
        </w:rPr>
        <w:t>COMMUNIQUÉ</w:t>
      </w:r>
    </w:p>
    <w:p w14:paraId="44A6A284" w14:textId="77777777" w:rsidR="00F92F2D" w:rsidRPr="00244A57" w:rsidRDefault="00F92F2D" w:rsidP="00221144">
      <w:pPr>
        <w:pStyle w:val="Default"/>
        <w:tabs>
          <w:tab w:val="left" w:pos="142"/>
        </w:tabs>
        <w:spacing w:before="100" w:beforeAutospacing="1" w:after="100" w:afterAutospacing="1"/>
        <w:jc w:val="center"/>
        <w:rPr>
          <w:rFonts w:ascii="Arial Narrow" w:hAnsi="Arial Narrow" w:cstheme="minorHAnsi"/>
          <w:b/>
          <w:sz w:val="28"/>
          <w:szCs w:val="28"/>
        </w:rPr>
      </w:pPr>
      <w:r w:rsidRPr="00244A57">
        <w:rPr>
          <w:rFonts w:ascii="Arial Narrow" w:hAnsi="Arial Narrow" w:cstheme="minorHAnsi"/>
          <w:b/>
          <w:sz w:val="28"/>
          <w:szCs w:val="28"/>
        </w:rPr>
        <w:t>Le ministre responsable des Services sociaux et la présidente du Conseil du trésor sont mis en demeure par la Table des regroupements provinciaux d’organismes communautaires et bénévoles</w:t>
      </w:r>
    </w:p>
    <w:p w14:paraId="73950C93" w14:textId="5EB7335F" w:rsidR="00F92825" w:rsidRPr="00BC13EE" w:rsidRDefault="001F6591" w:rsidP="00221144">
      <w:pPr>
        <w:spacing w:before="100" w:beforeAutospacing="1" w:after="100" w:afterAutospacing="1" w:line="240" w:lineRule="auto"/>
      </w:pPr>
      <w:r w:rsidRPr="00BC13EE">
        <w:rPr>
          <w:rFonts w:cstheme="minorHAnsi"/>
          <w:i/>
          <w:iCs/>
        </w:rPr>
        <w:t>Montréal, le</w:t>
      </w:r>
      <w:r w:rsidR="00566317" w:rsidRPr="00BC13EE">
        <w:rPr>
          <w:rFonts w:cstheme="minorHAnsi"/>
          <w:i/>
          <w:iCs/>
        </w:rPr>
        <w:t xml:space="preserve"> </w:t>
      </w:r>
      <w:r w:rsidR="00F92F2D" w:rsidRPr="00BC13EE">
        <w:rPr>
          <w:rFonts w:cstheme="minorHAnsi"/>
          <w:i/>
          <w:iCs/>
        </w:rPr>
        <w:t>2</w:t>
      </w:r>
      <w:r w:rsidR="00C80292">
        <w:rPr>
          <w:rFonts w:cstheme="minorHAnsi"/>
          <w:i/>
          <w:iCs/>
        </w:rPr>
        <w:t>6</w:t>
      </w:r>
      <w:r w:rsidR="00F92F2D" w:rsidRPr="00BC13EE">
        <w:rPr>
          <w:rFonts w:cstheme="minorHAnsi"/>
          <w:i/>
          <w:iCs/>
        </w:rPr>
        <w:t xml:space="preserve"> juin</w:t>
      </w:r>
      <w:r w:rsidR="00566317" w:rsidRPr="00BC13EE">
        <w:rPr>
          <w:rFonts w:cstheme="minorHAnsi"/>
          <w:i/>
          <w:iCs/>
        </w:rPr>
        <w:t xml:space="preserve"> 2025</w:t>
      </w:r>
      <w:r w:rsidRPr="00BC13EE">
        <w:rPr>
          <w:rFonts w:cstheme="minorHAnsi"/>
          <w:i/>
          <w:iCs/>
        </w:rPr>
        <w:t>.</w:t>
      </w:r>
      <w:r w:rsidRPr="00BC13EE">
        <w:rPr>
          <w:rFonts w:cstheme="minorHAnsi"/>
        </w:rPr>
        <w:t xml:space="preserve"> </w:t>
      </w:r>
      <w:r w:rsidR="00F92F2D" w:rsidRPr="00BC13EE">
        <w:rPr>
          <w:rFonts w:cstheme="minorHAnsi"/>
        </w:rPr>
        <w:t>Le 1</w:t>
      </w:r>
      <w:r w:rsidR="00F92F2D" w:rsidRPr="00BC13EE">
        <w:t xml:space="preserve">6 juin dernier, la Table a fait parvenir une </w:t>
      </w:r>
      <w:hyperlink r:id="rId8" w:history="1">
        <w:r w:rsidR="00F92F2D" w:rsidRPr="00BC13EE">
          <w:rPr>
            <w:rStyle w:val="Lienhypertexte"/>
          </w:rPr>
          <w:t>mise en demeure au ministre responsable des Services sociaux, Lionel Carmant, et à la présidente du</w:t>
        </w:r>
        <w:r w:rsidR="00DC045B" w:rsidRPr="00BC13EE">
          <w:rPr>
            <w:rStyle w:val="Lienhypertexte"/>
          </w:rPr>
          <w:t xml:space="preserve"> Conseil du trésor, Sonia </w:t>
        </w:r>
        <w:proofErr w:type="spellStart"/>
        <w:r w:rsidR="00DC045B" w:rsidRPr="00BC13EE">
          <w:rPr>
            <w:rStyle w:val="Lienhypertexte"/>
          </w:rPr>
          <w:t>LeBel</w:t>
        </w:r>
        <w:proofErr w:type="spellEnd"/>
      </w:hyperlink>
      <w:r w:rsidR="00DC045B" w:rsidRPr="00BC13EE">
        <w:t xml:space="preserve">. Cette </w:t>
      </w:r>
      <w:r w:rsidR="00DC045B" w:rsidRPr="00BC13EE">
        <w:rPr>
          <w:rFonts w:cstheme="minorHAnsi"/>
        </w:rPr>
        <w:t xml:space="preserve">procédure, inhabituelle pour la </w:t>
      </w:r>
      <w:r w:rsidR="00DC045B" w:rsidRPr="00BC13EE">
        <w:rPr>
          <w:rFonts w:eastAsia="Arial Narrow" w:cs="Arial Narrow"/>
        </w:rPr>
        <w:t xml:space="preserve">Table et ses membres, est nécessaire </w:t>
      </w:r>
      <w:r w:rsidR="004940DF" w:rsidRPr="00BC13EE">
        <w:t>en raison des manquements</w:t>
      </w:r>
      <w:r w:rsidR="00507143" w:rsidRPr="00BC13EE">
        <w:t>,</w:t>
      </w:r>
      <w:r w:rsidR="001C00E5" w:rsidRPr="00BC13EE">
        <w:t xml:space="preserve"> </w:t>
      </w:r>
      <w:r w:rsidR="004940DF" w:rsidRPr="00BC13EE">
        <w:t xml:space="preserve">constatés l’an dernier et dont la répétition s’annonce pour 2025, face </w:t>
      </w:r>
      <w:r w:rsidR="00F92F2D" w:rsidRPr="00BC13EE">
        <w:t xml:space="preserve">aux obligations légales, administratives et morales dans l’allocation des fonds publics et dans la reconnaissance des groupes communautaires autonomes du domaine de la santé et des services sociaux (OCASSS). </w:t>
      </w:r>
      <w:r w:rsidR="00424F20" w:rsidRPr="00BC13EE">
        <w:t xml:space="preserve">Cette action est actuellement accompagnée </w:t>
      </w:r>
      <w:r w:rsidR="00507143" w:rsidRPr="00BC13EE">
        <w:t>de</w:t>
      </w:r>
      <w:r w:rsidR="00424F20" w:rsidRPr="00BC13EE">
        <w:t xml:space="preserve"> </w:t>
      </w:r>
      <w:hyperlink r:id="rId9" w:history="1">
        <w:r w:rsidR="00424F20" w:rsidRPr="00BC13EE">
          <w:rPr>
            <w:rStyle w:val="Lienhypertexte"/>
          </w:rPr>
          <w:t>l’envoi de mise</w:t>
        </w:r>
        <w:r w:rsidR="00507143" w:rsidRPr="00BC13EE">
          <w:rPr>
            <w:rStyle w:val="Lienhypertexte"/>
          </w:rPr>
          <w:t>s</w:t>
        </w:r>
        <w:r w:rsidR="00424F20" w:rsidRPr="00BC13EE">
          <w:rPr>
            <w:rStyle w:val="Lienhypertexte"/>
          </w:rPr>
          <w:t xml:space="preserve"> en demeure de la part de</w:t>
        </w:r>
        <w:r w:rsidR="00F92825" w:rsidRPr="00BC13EE">
          <w:rPr>
            <w:rStyle w:val="Lienhypertexte"/>
          </w:rPr>
          <w:t xml:space="preserve"> regroupements provinciaux</w:t>
        </w:r>
      </w:hyperlink>
      <w:r w:rsidR="00F92825" w:rsidRPr="00BC13EE">
        <w:t xml:space="preserve"> abordant divers aspects du domaine de la santé et des services sociaux</w:t>
      </w:r>
      <w:r w:rsidR="00424F20" w:rsidRPr="00BC13EE">
        <w:t xml:space="preserve">, en </w:t>
      </w:r>
      <w:r w:rsidR="00F92825" w:rsidRPr="00BC13EE">
        <w:t xml:space="preserve">plus d’être saluée par </w:t>
      </w:r>
      <w:r w:rsidR="00334FA7" w:rsidRPr="00BC13EE">
        <w:t>des organisations</w:t>
      </w:r>
      <w:r w:rsidR="00F92825" w:rsidRPr="00BC13EE">
        <w:t xml:space="preserve"> allié</w:t>
      </w:r>
      <w:r w:rsidR="00334FA7" w:rsidRPr="00BC13EE">
        <w:t>e</w:t>
      </w:r>
      <w:r w:rsidR="00F92825" w:rsidRPr="00BC13EE">
        <w:t>s.</w:t>
      </w:r>
    </w:p>
    <w:p w14:paraId="72339181" w14:textId="0A5EFEDD" w:rsidR="0084067B" w:rsidRPr="00BC13EE" w:rsidRDefault="0084067B" w:rsidP="00221144">
      <w:pPr>
        <w:spacing w:before="100" w:beforeAutospacing="1" w:after="100" w:afterAutospacing="1" w:line="240" w:lineRule="auto"/>
      </w:pPr>
      <w:r w:rsidRPr="00BC13EE">
        <w:t xml:space="preserve">Fruit d’une </w:t>
      </w:r>
      <w:hyperlink r:id="rId10" w:history="1">
        <w:r w:rsidRPr="00240701">
          <w:rPr>
            <w:rStyle w:val="Lienhypertexte"/>
          </w:rPr>
          <w:t>recherche approfondie,</w:t>
        </w:r>
      </w:hyperlink>
      <w:r w:rsidRPr="00BC13EE">
        <w:t xml:space="preserve"> la mise en demeure </w:t>
      </w:r>
      <w:r w:rsidR="00493F19" w:rsidRPr="00BC13EE">
        <w:t>s’inscrit dans une série d’</w:t>
      </w:r>
      <w:r w:rsidR="004940DF" w:rsidRPr="00BC13EE">
        <w:t xml:space="preserve">intervention </w:t>
      </w:r>
      <w:r w:rsidRPr="00BC13EE">
        <w:t>sui</w:t>
      </w:r>
      <w:r w:rsidR="00507143" w:rsidRPr="00BC13EE">
        <w:t xml:space="preserve">vant </w:t>
      </w:r>
      <w:r w:rsidRPr="00BC13EE">
        <w:t xml:space="preserve">la </w:t>
      </w:r>
      <w:r w:rsidRPr="00BC13EE">
        <w:rPr>
          <w:rFonts w:cstheme="minorHAnsi"/>
        </w:rPr>
        <w:t>décision du ministre de retenir 1 million de dollars des 10 millions annoncés</w:t>
      </w:r>
      <w:r w:rsidR="009C1600" w:rsidRPr="00BC13EE">
        <w:rPr>
          <w:rFonts w:cstheme="minorHAnsi"/>
        </w:rPr>
        <w:t>, tant</w:t>
      </w:r>
      <w:r w:rsidRPr="00BC13EE">
        <w:rPr>
          <w:rFonts w:cstheme="minorHAnsi"/>
        </w:rPr>
        <w:t xml:space="preserve"> </w:t>
      </w:r>
      <w:hyperlink r:id="rId11" w:history="1">
        <w:r w:rsidRPr="00BC13EE">
          <w:rPr>
            <w:rStyle w:val="Lienhypertexte"/>
            <w:rFonts w:cstheme="minorHAnsi"/>
          </w:rPr>
          <w:t>au Budget 202</w:t>
        </w:r>
        <w:r w:rsidR="004940DF" w:rsidRPr="00BC13EE">
          <w:rPr>
            <w:rStyle w:val="Lienhypertexte"/>
            <w:rFonts w:cstheme="minorHAnsi"/>
          </w:rPr>
          <w:t>4</w:t>
        </w:r>
      </w:hyperlink>
      <w:r w:rsidR="00580771" w:rsidRPr="00BC13EE">
        <w:rPr>
          <w:rFonts w:cstheme="minorHAnsi"/>
        </w:rPr>
        <w:t xml:space="preserve"> qu’à </w:t>
      </w:r>
      <w:hyperlink r:id="rId12" w:history="1">
        <w:r w:rsidR="004940DF" w:rsidRPr="00BC13EE">
          <w:rPr>
            <w:rStyle w:val="Lienhypertexte"/>
            <w:rFonts w:cstheme="minorHAnsi"/>
          </w:rPr>
          <w:t>celui de 202</w:t>
        </w:r>
        <w:r w:rsidRPr="00BC13EE">
          <w:rPr>
            <w:rStyle w:val="Lienhypertexte"/>
            <w:rFonts w:cstheme="minorHAnsi"/>
          </w:rPr>
          <w:t>5</w:t>
        </w:r>
      </w:hyperlink>
      <w:r w:rsidRPr="00BC13EE">
        <w:rPr>
          <w:rFonts w:cstheme="minorHAnsi"/>
        </w:rPr>
        <w:t xml:space="preserve">, pour le distribuer à sa guise plutôt que </w:t>
      </w:r>
      <w:r w:rsidR="004940DF" w:rsidRPr="00BC13EE">
        <w:rPr>
          <w:rFonts w:cstheme="minorHAnsi"/>
        </w:rPr>
        <w:t>par les mécanismes prévus.</w:t>
      </w:r>
      <w:r w:rsidR="004940DF" w:rsidRPr="00BC13EE">
        <w:t xml:space="preserve"> Elle s’appuie notamment sur les propos du ministre </w:t>
      </w:r>
      <w:r w:rsidR="004940DF" w:rsidRPr="00BC13EE">
        <w:rPr>
          <w:rFonts w:cstheme="minorHAnsi"/>
        </w:rPr>
        <w:t>responsable des Services sociaux</w:t>
      </w:r>
      <w:r w:rsidR="004940DF" w:rsidRPr="00BC13EE">
        <w:t xml:space="preserve">, sur les documents budgétaires du gouvernement du Québec ainsi que sur le </w:t>
      </w:r>
      <w:hyperlink r:id="rId13" w:history="1">
        <w:r w:rsidR="004940DF" w:rsidRPr="00FE01EF">
          <w:rPr>
            <w:rStyle w:val="Lienhypertexte"/>
            <w:i/>
          </w:rPr>
          <w:t>Cadre normatif</w:t>
        </w:r>
        <w:r w:rsidR="004940DF" w:rsidRPr="00FE01EF">
          <w:rPr>
            <w:rStyle w:val="Lienhypertexte"/>
          </w:rPr>
          <w:t xml:space="preserve"> du Programme de soutien aux organismes communautaires (PSOC),</w:t>
        </w:r>
      </w:hyperlink>
      <w:r w:rsidR="004940DF" w:rsidRPr="00BC13EE">
        <w:t xml:space="preserve"> un programme dorénavant administré par Santé Québec</w:t>
      </w:r>
      <w:r w:rsidR="0072245E" w:rsidRPr="00BC13EE">
        <w:t xml:space="preserve"> à destination de plus de 3000 OCASSS</w:t>
      </w:r>
      <w:r w:rsidR="004940DF" w:rsidRPr="00BC13EE">
        <w:t>.</w:t>
      </w:r>
    </w:p>
    <w:p w14:paraId="76315A2D" w14:textId="6F33F198" w:rsidR="005A4AF1" w:rsidRPr="00BC13EE" w:rsidRDefault="005A4AF1" w:rsidP="00221144">
      <w:pPr>
        <w:spacing w:before="100" w:beforeAutospacing="1" w:after="100" w:afterAutospacing="1" w:line="240" w:lineRule="auto"/>
      </w:pPr>
      <w:r w:rsidRPr="00BC13EE">
        <w:t xml:space="preserve">La Table réclame notamment </w:t>
      </w:r>
      <w:r w:rsidR="001543B3" w:rsidRPr="00BC13EE">
        <w:rPr>
          <w:iCs/>
        </w:rPr>
        <w:t>de</w:t>
      </w:r>
      <w:r w:rsidR="001543B3" w:rsidRPr="00BC13EE">
        <w:rPr>
          <w:i/>
        </w:rPr>
        <w:t xml:space="preserve"> </w:t>
      </w:r>
      <w:r w:rsidR="001543B3" w:rsidRPr="00BC13EE">
        <w:t>distribuer l’entièreté du montant de</w:t>
      </w:r>
      <w:hyperlink r:id="rId14" w:history="1">
        <w:r w:rsidR="001543B3" w:rsidRPr="00FE01EF">
          <w:rPr>
            <w:rStyle w:val="Lienhypertexte"/>
          </w:rPr>
          <w:t xml:space="preserve"> 10 millions de dollars alloué par le budget du Québec 2025,</w:t>
        </w:r>
      </w:hyperlink>
      <w:r w:rsidR="001543B3" w:rsidRPr="00BC13EE">
        <w:t xml:space="preserve"> selon les règles du </w:t>
      </w:r>
      <w:r w:rsidR="001543B3" w:rsidRPr="00BC13EE">
        <w:rPr>
          <w:i/>
        </w:rPr>
        <w:t xml:space="preserve">Cadre normatif du PSOC </w:t>
      </w:r>
      <w:r w:rsidR="001543B3" w:rsidRPr="00BC13EE">
        <w:rPr>
          <w:iCs/>
        </w:rPr>
        <w:t>en ajoutant</w:t>
      </w:r>
      <w:r w:rsidR="001543B3" w:rsidRPr="00BC13EE">
        <w:rPr>
          <w:i/>
        </w:rPr>
        <w:t xml:space="preserve"> </w:t>
      </w:r>
      <w:r w:rsidRPr="00BC13EE">
        <w:t>un montant de 1 million de dollars en remplac</w:t>
      </w:r>
      <w:r w:rsidR="001543B3" w:rsidRPr="00BC13EE">
        <w:t xml:space="preserve">ement de celui </w:t>
      </w:r>
      <w:r w:rsidRPr="00BC13EE">
        <w:t xml:space="preserve">distribué </w:t>
      </w:r>
      <w:r w:rsidR="00796653" w:rsidRPr="00BC13EE">
        <w:t xml:space="preserve">en 2024 </w:t>
      </w:r>
      <w:r w:rsidRPr="00BC13EE">
        <w:t>sans égard au</w:t>
      </w:r>
      <w:r w:rsidR="00796653" w:rsidRPr="00BC13EE">
        <w:t>x règles</w:t>
      </w:r>
      <w:r w:rsidR="001543B3" w:rsidRPr="00BC13EE">
        <w:rPr>
          <w:i/>
        </w:rPr>
        <w:t xml:space="preserve">. </w:t>
      </w:r>
      <w:r w:rsidR="001543B3" w:rsidRPr="00BC13EE">
        <w:t xml:space="preserve">Elle demande également l’ouverture de </w:t>
      </w:r>
      <w:r w:rsidRPr="00BC13EE">
        <w:t xml:space="preserve">travaux menant </w:t>
      </w:r>
      <w:r w:rsidR="00507143" w:rsidRPr="00BC13EE">
        <w:t>à</w:t>
      </w:r>
      <w:r w:rsidRPr="00BC13EE">
        <w:t xml:space="preserve"> l’élaboration d’un plan de rehaussement du financement répondant aux attentes du communautaire</w:t>
      </w:r>
      <w:r w:rsidR="001543B3" w:rsidRPr="00BC13EE">
        <w:t>, ainsi que d’autres mesures permettant d’assurer la transparence des fonds du PSOC en tant que programme normé par le Conseil du Trésor.</w:t>
      </w:r>
      <w:r w:rsidRPr="00BC13EE">
        <w:t xml:space="preserve"> </w:t>
      </w:r>
    </w:p>
    <w:p w14:paraId="202FA827" w14:textId="4CBED7C2" w:rsidR="0084067B" w:rsidRPr="00BC13EE" w:rsidRDefault="0084067B" w:rsidP="00221144">
      <w:pPr>
        <w:spacing w:before="100" w:beforeAutospacing="1" w:after="100" w:afterAutospacing="1" w:line="240" w:lineRule="auto"/>
      </w:pPr>
      <w:r w:rsidRPr="00BC13EE">
        <w:t>« L</w:t>
      </w:r>
      <w:r w:rsidR="00493F19" w:rsidRPr="00BC13EE">
        <w:t xml:space="preserve">’opposition de </w:t>
      </w:r>
      <w:r w:rsidRPr="00BC13EE">
        <w:t xml:space="preserve">la Table est proportionnelle à </w:t>
      </w:r>
      <w:hyperlink r:id="rId15" w:tgtFrame="_blank" w:history="1">
        <w:r w:rsidRPr="00BC13EE">
          <w:rPr>
            <w:rStyle w:val="Lienhypertexte"/>
          </w:rPr>
          <w:t>la gravité de la situation, comme nous le décrivions le 6 mai dernier par communiqué</w:t>
        </w:r>
      </w:hyperlink>
      <w:r w:rsidRPr="00BC13EE">
        <w:t>. Nous estimons qu'il faut réagir fortement pour empêcher que le Ministre responsable des Services sociaux contrevienne pour une 2e année aux règles établies et souhaitons amener la Présidente du Conseil du trésor à jouer son rôle</w:t>
      </w:r>
      <w:r w:rsidR="004E65EF" w:rsidRPr="00BC13EE">
        <w:t>. Même devant l’Assemblée nationale, le ministre Lionel Carmant expose une vision du PSOC qui ressemble davantage à une enveloppe discrétionnaire qu’à un programme normé par le Conseil du trésor</w:t>
      </w:r>
      <w:r w:rsidR="004940DF" w:rsidRPr="00BC13EE">
        <w:t>, notamment à l’égard des mécanismes de distribu</w:t>
      </w:r>
      <w:r w:rsidR="002C58E4" w:rsidRPr="00BC13EE">
        <w:t>t</w:t>
      </w:r>
      <w:r w:rsidR="004940DF" w:rsidRPr="00BC13EE">
        <w:t xml:space="preserve">ion du </w:t>
      </w:r>
      <w:r w:rsidR="004940DF" w:rsidRPr="00BC13EE">
        <w:rPr>
          <w:rFonts w:cstheme="minorHAnsi"/>
        </w:rPr>
        <w:t>rehaussement des subventions à la mission globale du PSOC</w:t>
      </w:r>
      <w:r w:rsidRPr="00BC13EE">
        <w:t>» souligne Stéphanie Vallée, présidente de la Table.</w:t>
      </w:r>
    </w:p>
    <w:p w14:paraId="25237253" w14:textId="77777777" w:rsidR="00C80292" w:rsidRDefault="00C80292" w:rsidP="00221144">
      <w:r>
        <w:br w:type="page"/>
      </w:r>
    </w:p>
    <w:p w14:paraId="17C21620" w14:textId="480842AD" w:rsidR="004C224F" w:rsidRPr="00BC13EE" w:rsidRDefault="000375DC" w:rsidP="00221144">
      <w:pPr>
        <w:spacing w:before="100" w:beforeAutospacing="1" w:after="100" w:afterAutospacing="1" w:line="240" w:lineRule="auto"/>
      </w:pPr>
      <w:r w:rsidRPr="00BC13EE">
        <w:lastRenderedPageBreak/>
        <w:t xml:space="preserve">« En 2024, le ministre a détourné </w:t>
      </w:r>
      <w:hyperlink r:id="rId16" w:history="1">
        <w:r w:rsidRPr="00FE01EF">
          <w:rPr>
            <w:rStyle w:val="Lienhypertexte"/>
          </w:rPr>
          <w:t>10% d’</w:t>
        </w:r>
        <w:r w:rsidR="00580771" w:rsidRPr="00FE01EF">
          <w:rPr>
            <w:rStyle w:val="Lienhypertexte"/>
          </w:rPr>
          <w:t xml:space="preserve">un rehaussement </w:t>
        </w:r>
        <w:r w:rsidRPr="00FE01EF">
          <w:rPr>
            <w:rStyle w:val="Lienhypertexte"/>
          </w:rPr>
          <w:t xml:space="preserve">déjà scandaleusement </w:t>
        </w:r>
        <w:r w:rsidR="00580771" w:rsidRPr="00FE01EF">
          <w:rPr>
            <w:rStyle w:val="Lienhypertexte"/>
          </w:rPr>
          <w:t xml:space="preserve">insuffisant </w:t>
        </w:r>
        <w:r w:rsidR="0072245E" w:rsidRPr="00FE01EF">
          <w:rPr>
            <w:rStyle w:val="Lienhypertexte"/>
          </w:rPr>
          <w:t>pour le PSOC</w:t>
        </w:r>
        <w:r w:rsidRPr="00FE01EF">
          <w:rPr>
            <w:rStyle w:val="Lienhypertexte"/>
          </w:rPr>
          <w:t>.</w:t>
        </w:r>
      </w:hyperlink>
      <w:r w:rsidRPr="00BC13EE">
        <w:t xml:space="preserve"> </w:t>
      </w:r>
      <w:r w:rsidR="00F85706">
        <w:t xml:space="preserve">Il </w:t>
      </w:r>
      <w:r w:rsidR="00580771" w:rsidRPr="00BC13EE">
        <w:t>a prétendu l’avoir utilisé pour des organismes</w:t>
      </w:r>
      <w:r w:rsidR="0042544A" w:rsidRPr="00BC13EE">
        <w:t xml:space="preserve"> « à risque de fermeture »</w:t>
      </w:r>
      <w:r w:rsidR="0072245E" w:rsidRPr="00BC13EE">
        <w:t>, expression qu’</w:t>
      </w:r>
      <w:r w:rsidR="0042544A" w:rsidRPr="00BC13EE">
        <w:t xml:space="preserve">il a </w:t>
      </w:r>
      <w:r w:rsidR="0072245E" w:rsidRPr="00BC13EE">
        <w:t xml:space="preserve">répété </w:t>
      </w:r>
      <w:r w:rsidR="0042544A" w:rsidRPr="00BC13EE">
        <w:t>lors de l’étude des crédits de 2025</w:t>
      </w:r>
      <w:r w:rsidR="00C80292">
        <w:rPr>
          <w:rStyle w:val="Appelnotedebasdep"/>
        </w:rPr>
        <w:footnoteReference w:id="1"/>
      </w:r>
      <w:r w:rsidR="0042544A" w:rsidRPr="00BC13EE">
        <w:t xml:space="preserve">. </w:t>
      </w:r>
      <w:r w:rsidR="00580771" w:rsidRPr="00BC13EE">
        <w:t>Or, s</w:t>
      </w:r>
      <w:r w:rsidR="0042544A" w:rsidRPr="00BC13EE">
        <w:t xml:space="preserve">elon nos informations, </w:t>
      </w:r>
      <w:r w:rsidR="00580771" w:rsidRPr="00BC13EE">
        <w:t>les trois organismes soutenus</w:t>
      </w:r>
      <w:r w:rsidR="0042544A" w:rsidRPr="00BC13EE">
        <w:t xml:space="preserve"> en 2024 avaient des besoins financiers comparables aux</w:t>
      </w:r>
      <w:r w:rsidR="0072245E" w:rsidRPr="00BC13EE">
        <w:t xml:space="preserve"> </w:t>
      </w:r>
      <w:r w:rsidR="0042544A" w:rsidRPr="00BC13EE">
        <w:t>autres OCASSS et</w:t>
      </w:r>
      <w:r w:rsidR="00580771" w:rsidRPr="00BC13EE">
        <w:t xml:space="preserve"> </w:t>
      </w:r>
      <w:r w:rsidRPr="00BC13EE">
        <w:t xml:space="preserve">n’étaient pas </w:t>
      </w:r>
      <w:r w:rsidR="005C395F" w:rsidRPr="00BC13EE">
        <w:t>plus</w:t>
      </w:r>
      <w:r w:rsidRPr="00BC13EE">
        <w:t xml:space="preserve"> « à risque de fermeture » que les</w:t>
      </w:r>
      <w:r w:rsidR="00580771" w:rsidRPr="00BC13EE">
        <w:t xml:space="preserve"> </w:t>
      </w:r>
      <w:r w:rsidRPr="00BC13EE">
        <w:t>autres</w:t>
      </w:r>
      <w:r w:rsidR="00E00E0A">
        <w:t xml:space="preserve">. De plus, </w:t>
      </w:r>
      <w:r w:rsidR="0072245E" w:rsidRPr="00BC13EE">
        <w:t>l</w:t>
      </w:r>
      <w:r w:rsidR="00E00E0A">
        <w:t xml:space="preserve">a hausse reçu par </w:t>
      </w:r>
      <w:r w:rsidR="0072245E" w:rsidRPr="00BC13EE">
        <w:t xml:space="preserve">l’un d’eux n’a pas été versée en soutien pour sa mission globale et ne durera que deux années, contrairement aux règles habituelles. </w:t>
      </w:r>
      <w:r w:rsidR="00E14253" w:rsidRPr="00BC13EE">
        <w:t>En faisant valoi</w:t>
      </w:r>
      <w:r w:rsidR="004C224F" w:rsidRPr="00BC13EE">
        <w:t xml:space="preserve">r leurs besoins </w:t>
      </w:r>
      <w:r w:rsidR="00E14253" w:rsidRPr="00BC13EE">
        <w:t>c</w:t>
      </w:r>
      <w:r w:rsidR="0072245E" w:rsidRPr="00BC13EE">
        <w:t>es organismes n’ont commis au</w:t>
      </w:r>
      <w:r w:rsidR="00E14253" w:rsidRPr="00BC13EE">
        <w:t xml:space="preserve">cune faute, ce qui n’est pas le cas du </w:t>
      </w:r>
      <w:r w:rsidR="0072245E" w:rsidRPr="00BC13EE">
        <w:t>ministre</w:t>
      </w:r>
      <w:r w:rsidR="00BC13EE" w:rsidRPr="00BC13EE">
        <w:t>. Ce dernier</w:t>
      </w:r>
      <w:r w:rsidR="00E14253" w:rsidRPr="00BC13EE">
        <w:t xml:space="preserve"> </w:t>
      </w:r>
      <w:r w:rsidR="0072245E" w:rsidRPr="00BC13EE">
        <w:t>continue de tromp</w:t>
      </w:r>
      <w:r w:rsidR="007569FA" w:rsidRPr="00BC13EE">
        <w:t>er la population en prétextant réagir à des situations urgentes, alors qu’il s’agit de décisions discrétionnaires</w:t>
      </w:r>
      <w:r w:rsidR="004C224F" w:rsidRPr="00BC13EE">
        <w:t>»</w:t>
      </w:r>
      <w:r w:rsidR="007569FA" w:rsidRPr="00BC13EE">
        <w:t xml:space="preserve"> </w:t>
      </w:r>
      <w:r w:rsidR="004C224F" w:rsidRPr="00BC13EE">
        <w:t>ajoute Mercédez Roberge, coordonnatrice de la Table.</w:t>
      </w:r>
    </w:p>
    <w:p w14:paraId="1B19D1DD" w14:textId="14731397" w:rsidR="001E78EB" w:rsidRPr="00BC13EE" w:rsidRDefault="004C224F" w:rsidP="00221144">
      <w:pPr>
        <w:spacing w:before="100" w:beforeAutospacing="1" w:after="100" w:afterAutospacing="1" w:line="240" w:lineRule="auto"/>
      </w:pPr>
      <w:r w:rsidRPr="00BC13EE">
        <w:t>« </w:t>
      </w:r>
      <w:r w:rsidR="001E78EB" w:rsidRPr="00BC13EE">
        <w:t xml:space="preserve">Il y a un mois, les responsables de la Table ont rencontré le ministre pour demander que l’entièreté du 10 millions issue du Budget 2025 soit distribuée pour la mission globale de l’ensemble des OCASSS. Il s’est alors tout </w:t>
      </w:r>
      <w:r w:rsidR="00E14253" w:rsidRPr="00BC13EE">
        <w:t xml:space="preserve">candidement </w:t>
      </w:r>
      <w:r w:rsidR="001E78EB" w:rsidRPr="00BC13EE">
        <w:t xml:space="preserve">justifié, disant être obligé d’agir ainsi parce qu’il n’avait pas </w:t>
      </w:r>
      <w:r w:rsidR="000375DC" w:rsidRPr="00BC13EE">
        <w:t xml:space="preserve">obtenu </w:t>
      </w:r>
      <w:r w:rsidR="00E14253" w:rsidRPr="00BC13EE">
        <w:t xml:space="preserve">de fonds </w:t>
      </w:r>
      <w:r w:rsidR="001E78EB" w:rsidRPr="00BC13EE">
        <w:t xml:space="preserve">supplémentaires </w:t>
      </w:r>
      <w:r w:rsidR="00E14253" w:rsidRPr="00BC13EE">
        <w:t xml:space="preserve">pour </w:t>
      </w:r>
      <w:r w:rsidR="001E78EB" w:rsidRPr="00BC13EE">
        <w:t>s</w:t>
      </w:r>
      <w:r w:rsidR="00E14253" w:rsidRPr="00BC13EE">
        <w:t>es plans d’action</w:t>
      </w:r>
      <w:r w:rsidR="001E78EB" w:rsidRPr="00BC13EE">
        <w:t>. La Présidente du Conseil du trésor est-elle vraiment d’accord avec cela? </w:t>
      </w:r>
      <w:r w:rsidR="000375DC" w:rsidRPr="00BC13EE">
        <w:t>»</w:t>
      </w:r>
      <w:r w:rsidR="00B41960" w:rsidRPr="00BC13EE">
        <w:t xml:space="preserve"> questionne</w:t>
      </w:r>
      <w:r w:rsidR="001E78EB" w:rsidRPr="00BC13EE">
        <w:t xml:space="preserve"> Stéphanie Vallée.</w:t>
      </w:r>
    </w:p>
    <w:p w14:paraId="7CB31FB0" w14:textId="78283B1F" w:rsidR="005A4AF1" w:rsidRPr="00BC13EE" w:rsidRDefault="005A4AF1" w:rsidP="00221144">
      <w:pPr>
        <w:spacing w:before="100" w:beforeAutospacing="1" w:after="100" w:afterAutospacing="1" w:line="240" w:lineRule="auto"/>
      </w:pPr>
      <w:r w:rsidRPr="00BC13EE">
        <w:t xml:space="preserve">La Table estime que des allocations budgétaires découlant du Budget du Québec 2024 ont été attribuées de manière arbitraire, sans justification transparente ni respect des procédures prévues par les lois et politiques encadrant la gestion des fonds publics et que la situation est </w:t>
      </w:r>
      <w:r w:rsidR="00DA578F" w:rsidRPr="00BC13EE">
        <w:t>en voie</w:t>
      </w:r>
      <w:r w:rsidRPr="00BC13EE">
        <w:t xml:space="preserve"> de se reproduire </w:t>
      </w:r>
      <w:r w:rsidR="00507143" w:rsidRPr="00BC13EE">
        <w:t>avec le</w:t>
      </w:r>
      <w:r w:rsidRPr="00BC13EE">
        <w:t xml:space="preserve"> Budget de 2025. Un délai de 30 jours a été imparti pour répondre à la mise en demeure, mais aucune réaction n’a encore été reçue. </w:t>
      </w:r>
    </w:p>
    <w:p w14:paraId="2A7B5248" w14:textId="77777777" w:rsidR="00796653" w:rsidRPr="00BC13EE" w:rsidRDefault="00796653" w:rsidP="00221144">
      <w:pPr>
        <w:tabs>
          <w:tab w:val="left" w:pos="142"/>
        </w:tabs>
        <w:spacing w:before="100" w:beforeAutospacing="1" w:after="100" w:afterAutospacing="1" w:line="240" w:lineRule="auto"/>
        <w:rPr>
          <w:rFonts w:eastAsia="Arial Narrow" w:cstheme="minorHAnsi"/>
          <w:b/>
        </w:rPr>
      </w:pPr>
      <w:r w:rsidRPr="00BC13EE">
        <w:rPr>
          <w:rFonts w:eastAsia="Arial Narrow" w:cstheme="minorHAnsi"/>
          <w:b/>
        </w:rPr>
        <w:t>- 30 -</w:t>
      </w:r>
    </w:p>
    <w:p w14:paraId="5810515F" w14:textId="77777777" w:rsidR="00796653" w:rsidRPr="008C4C36" w:rsidRDefault="00796653" w:rsidP="00221144">
      <w:pPr>
        <w:tabs>
          <w:tab w:val="left" w:pos="142"/>
        </w:tabs>
        <w:spacing w:before="100" w:beforeAutospacing="1" w:after="100" w:afterAutospacing="1" w:line="240" w:lineRule="auto"/>
        <w:rPr>
          <w:rFonts w:eastAsia="Arial Narrow" w:cstheme="minorHAnsi"/>
          <w:b/>
          <w:sz w:val="28"/>
          <w:szCs w:val="28"/>
        </w:rPr>
      </w:pPr>
      <w:r w:rsidRPr="008C4C36">
        <w:rPr>
          <w:rFonts w:eastAsia="Arial Narrow" w:cstheme="minorHAnsi"/>
          <w:b/>
          <w:sz w:val="28"/>
          <w:szCs w:val="28"/>
        </w:rPr>
        <w:t>SOURCE :</w:t>
      </w:r>
    </w:p>
    <w:p w14:paraId="050E92B7" w14:textId="77777777" w:rsidR="00796653" w:rsidRDefault="00796653" w:rsidP="00221144">
      <w:pPr>
        <w:tabs>
          <w:tab w:val="left" w:pos="142"/>
        </w:tabs>
        <w:spacing w:before="100" w:beforeAutospacing="1" w:after="100" w:afterAutospacing="1" w:line="240" w:lineRule="auto"/>
        <w:rPr>
          <w:rFonts w:cstheme="minorHAnsi"/>
        </w:rPr>
      </w:pPr>
      <w:hyperlink r:id="rId17" w:history="1">
        <w:r w:rsidRPr="00BC13EE">
          <w:rPr>
            <w:rStyle w:val="Lienhypertexte"/>
          </w:rPr>
          <w:t xml:space="preserve">La </w:t>
        </w:r>
        <w:r w:rsidRPr="00BC13EE">
          <w:rPr>
            <w:rStyle w:val="Lienhypertexte"/>
            <w:rFonts w:eastAsia="Arial Narrow" w:cstheme="minorHAnsi"/>
          </w:rPr>
          <w:t>Table des regroupements provinciaux d'organismes communautaires et bénévoles (TRPOCB),</w:t>
        </w:r>
      </w:hyperlink>
      <w:r w:rsidRPr="00BC13EE">
        <w:rPr>
          <w:rFonts w:eastAsia="Arial Narrow" w:cstheme="minorHAnsi"/>
        </w:rPr>
        <w:t xml:space="preserve"> Mercédez Roberge, coordonnatrice, </w:t>
      </w:r>
      <w:hyperlink r:id="rId18" w:history="1">
        <w:r w:rsidRPr="00BC13EE">
          <w:rPr>
            <w:rStyle w:val="Lienhypertexte"/>
            <w:rFonts w:eastAsia="Arial Narrow" w:cstheme="minorHAnsi"/>
          </w:rPr>
          <w:t>coordination@trpocb.org</w:t>
        </w:r>
      </w:hyperlink>
      <w:r w:rsidRPr="00BC13EE">
        <w:rPr>
          <w:rFonts w:eastAsia="Arial Narrow" w:cstheme="minorHAnsi"/>
        </w:rPr>
        <w:t xml:space="preserve"> ; </w:t>
      </w:r>
      <w:r w:rsidRPr="00BC13EE">
        <w:rPr>
          <w:rFonts w:cstheme="minorHAnsi"/>
        </w:rPr>
        <w:t>514-690-7826</w:t>
      </w:r>
    </w:p>
    <w:p w14:paraId="5F7675F7" w14:textId="18ACB965" w:rsidR="00244A57" w:rsidRDefault="00240701" w:rsidP="00221144">
      <w:pPr>
        <w:tabs>
          <w:tab w:val="left" w:pos="142"/>
        </w:tabs>
        <w:spacing w:before="100" w:beforeAutospacing="1" w:after="100" w:afterAutospacing="1" w:line="240" w:lineRule="auto"/>
        <w:rPr>
          <w:rFonts w:cstheme="minorHAnsi"/>
        </w:rPr>
      </w:pPr>
      <w:hyperlink r:id="rId19" w:history="1">
        <w:r w:rsidRPr="00240701">
          <w:rPr>
            <w:rStyle w:val="Lienhypertexte"/>
            <w:rFonts w:cstheme="minorHAnsi"/>
          </w:rPr>
          <w:t>Lien pour consulter</w:t>
        </w:r>
      </w:hyperlink>
      <w:r>
        <w:rPr>
          <w:rFonts w:cstheme="minorHAnsi"/>
        </w:rPr>
        <w:t xml:space="preserve"> la mise en demeure et ses annexes, ainsi que les lettres transmises par les regroupements provinciaux.</w:t>
      </w:r>
    </w:p>
    <w:p w14:paraId="3551046D" w14:textId="77777777" w:rsidR="00240701" w:rsidRPr="00BC13EE" w:rsidRDefault="00240701" w:rsidP="00221144">
      <w:pPr>
        <w:tabs>
          <w:tab w:val="left" w:pos="142"/>
        </w:tabs>
        <w:spacing w:before="100" w:beforeAutospacing="1" w:after="100" w:afterAutospacing="1" w:line="240" w:lineRule="auto"/>
        <w:rPr>
          <w:rFonts w:cstheme="minorHAnsi"/>
        </w:rPr>
      </w:pPr>
    </w:p>
    <w:p w14:paraId="1B1F2ADC" w14:textId="77777777" w:rsidR="00796653" w:rsidRPr="00BC13EE" w:rsidRDefault="00796653" w:rsidP="00221144">
      <w:pPr>
        <w:numPr>
          <w:ilvl w:val="0"/>
          <w:numId w:val="2"/>
        </w:numPr>
        <w:tabs>
          <w:tab w:val="left" w:pos="142"/>
        </w:tabs>
        <w:spacing w:before="100" w:beforeAutospacing="1" w:after="100" w:afterAutospacing="1" w:line="240" w:lineRule="auto"/>
        <w:ind w:left="142" w:hanging="142"/>
        <w:rPr>
          <w:rFonts w:eastAsia="Arial Narrow" w:cstheme="minorHAnsi"/>
        </w:rPr>
      </w:pPr>
      <w:r w:rsidRPr="00BC13EE">
        <w:rPr>
          <w:rFonts w:eastAsia="Arial Narrow" w:cstheme="minorHAnsi"/>
        </w:rPr>
        <w:t xml:space="preserve">Stéphanie Vallée est présidente de la Table des regroupements provinciaux d’organismes communautaires et bénévoles. Elle est également </w:t>
      </w:r>
      <w:proofErr w:type="spellStart"/>
      <w:r w:rsidRPr="00BC13EE">
        <w:rPr>
          <w:rFonts w:eastAsia="Arial Narrow" w:cstheme="minorHAnsi"/>
        </w:rPr>
        <w:t>co</w:t>
      </w:r>
      <w:proofErr w:type="spellEnd"/>
      <w:r w:rsidRPr="00BC13EE">
        <w:rPr>
          <w:rFonts w:eastAsia="Arial Narrow" w:cstheme="minorHAnsi"/>
        </w:rPr>
        <w:t xml:space="preserve">-coordonnatrice de </w:t>
      </w:r>
      <w:hyperlink r:id="rId20" w:history="1">
        <w:r w:rsidRPr="00BC13EE">
          <w:rPr>
            <w:rStyle w:val="Lienhypertexte"/>
            <w:rFonts w:eastAsia="Arial Narrow" w:cstheme="minorHAnsi"/>
          </w:rPr>
          <w:t>L’R des centres de femmes du Québec</w:t>
        </w:r>
      </w:hyperlink>
      <w:r w:rsidRPr="00BC13EE">
        <w:rPr>
          <w:rFonts w:eastAsia="Arial Narrow" w:cstheme="minorHAnsi"/>
        </w:rPr>
        <w:t>.</w:t>
      </w:r>
    </w:p>
    <w:p w14:paraId="15BBEC20" w14:textId="77777777" w:rsidR="00796653" w:rsidRPr="00BC13EE" w:rsidRDefault="00796653" w:rsidP="00221144">
      <w:pPr>
        <w:numPr>
          <w:ilvl w:val="0"/>
          <w:numId w:val="2"/>
        </w:numPr>
        <w:tabs>
          <w:tab w:val="left" w:pos="142"/>
        </w:tabs>
        <w:spacing w:before="100" w:beforeAutospacing="1" w:after="100" w:afterAutospacing="1" w:line="240" w:lineRule="auto"/>
        <w:ind w:left="142" w:hanging="142"/>
        <w:rPr>
          <w:rFonts w:eastAsia="Arial Narrow" w:cstheme="minorHAnsi"/>
        </w:rPr>
      </w:pPr>
      <w:r w:rsidRPr="00BC13EE">
        <w:rPr>
          <w:rFonts w:eastAsia="Arial Narrow" w:cstheme="minorHAnsi"/>
        </w:rPr>
        <w:t xml:space="preserve">Mercédez Roberge est coordonnatrice de la </w:t>
      </w:r>
      <w:hyperlink r:id="rId21">
        <w:r w:rsidRPr="00BC13EE">
          <w:rPr>
            <w:rFonts w:eastAsia="Arial Narrow" w:cstheme="minorHAnsi"/>
            <w:color w:val="0000FF"/>
            <w:u w:val="single"/>
          </w:rPr>
          <w:t>Table des regroupements provinciaux d’organismes communautaires et bénévoles</w:t>
        </w:r>
      </w:hyperlink>
      <w:r w:rsidRPr="00BC13EE">
        <w:rPr>
          <w:rFonts w:eastAsia="Arial Narrow" w:cstheme="minorHAnsi"/>
          <w:color w:val="0000FF"/>
          <w:u w:val="single"/>
        </w:rPr>
        <w:t>.</w:t>
      </w:r>
    </w:p>
    <w:p w14:paraId="464B5B6A" w14:textId="77777777" w:rsidR="00BC13EE" w:rsidRDefault="00BC13EE" w:rsidP="00221144">
      <w:pPr>
        <w:rPr>
          <w:b/>
        </w:rPr>
      </w:pPr>
      <w:r>
        <w:rPr>
          <w:b/>
        </w:rPr>
        <w:br w:type="page"/>
      </w:r>
    </w:p>
    <w:p w14:paraId="7711C0BE" w14:textId="4DFC30AB" w:rsidR="005A4AF1" w:rsidRPr="008C4C36" w:rsidRDefault="005A4AF1" w:rsidP="00221144">
      <w:pPr>
        <w:spacing w:before="100" w:beforeAutospacing="1" w:after="100" w:afterAutospacing="1" w:line="240" w:lineRule="auto"/>
        <w:rPr>
          <w:rStyle w:val="il"/>
          <w:b/>
          <w:sz w:val="28"/>
          <w:szCs w:val="28"/>
        </w:rPr>
      </w:pPr>
      <w:r w:rsidRPr="008C4C36">
        <w:rPr>
          <w:b/>
          <w:sz w:val="28"/>
          <w:szCs w:val="28"/>
        </w:rPr>
        <w:lastRenderedPageBreak/>
        <w:t xml:space="preserve">Extraits de la </w:t>
      </w:r>
      <w:hyperlink r:id="rId22" w:history="1">
        <w:r w:rsidR="004002C6" w:rsidRPr="008C4C36">
          <w:rPr>
            <w:rStyle w:val="Lienhypertexte"/>
            <w:b/>
            <w:sz w:val="28"/>
            <w:szCs w:val="28"/>
          </w:rPr>
          <w:t>m</w:t>
        </w:r>
        <w:r w:rsidR="00BC2D79" w:rsidRPr="008C4C36">
          <w:rPr>
            <w:rStyle w:val="Lienhypertexte"/>
            <w:b/>
            <w:sz w:val="28"/>
            <w:szCs w:val="28"/>
          </w:rPr>
          <w:t>ise en demeure</w:t>
        </w:r>
        <w:r w:rsidRPr="008C4C36">
          <w:rPr>
            <w:rStyle w:val="Lienhypertexte"/>
            <w:b/>
            <w:sz w:val="28"/>
            <w:szCs w:val="28"/>
          </w:rPr>
          <w:t> </w:t>
        </w:r>
      </w:hyperlink>
      <w:r w:rsidRPr="008C4C36">
        <w:rPr>
          <w:rStyle w:val="il"/>
          <w:b/>
          <w:sz w:val="28"/>
          <w:szCs w:val="28"/>
        </w:rPr>
        <w:t>:</w:t>
      </w:r>
    </w:p>
    <w:p w14:paraId="6D470DF5" w14:textId="009B52CE" w:rsidR="005A4AF1" w:rsidRPr="00BC13EE" w:rsidRDefault="005A4AF1" w:rsidP="00221144">
      <w:pPr>
        <w:spacing w:before="100" w:beforeAutospacing="1" w:after="100" w:afterAutospacing="1" w:line="240" w:lineRule="auto"/>
      </w:pPr>
      <w:r w:rsidRPr="00BC13EE">
        <w:t xml:space="preserve">« Par la présente, nous vous mettons formellement en demeure concernant l’allocation arbitraire et non conforme de fonds publics destinés au financement des organismes communautaires autonomes du secteur de la santé et des services sociaux, par l’entremise du </w:t>
      </w:r>
      <w:r w:rsidRPr="00BC13EE">
        <w:rPr>
          <w:rFonts w:eastAsia="Arial Narrow" w:cs="Arial Narrow"/>
        </w:rPr>
        <w:t>Programme de soutien aux organismes communautaires (PSOC) du Ministère de la Santé et des Services sociaux (MSSS)</w:t>
      </w:r>
      <w:r w:rsidRPr="00BC13EE">
        <w:t>.</w:t>
      </w:r>
    </w:p>
    <w:p w14:paraId="51DE70EE" w14:textId="77777777" w:rsidR="005A4AF1" w:rsidRPr="00BC13EE" w:rsidRDefault="005A4AF1" w:rsidP="00221144">
      <w:pPr>
        <w:spacing w:before="100" w:beforeAutospacing="1" w:after="100" w:afterAutospacing="1" w:line="240" w:lineRule="auto"/>
      </w:pPr>
      <w:r w:rsidRPr="00BC13EE">
        <w:t>Il nous est établi que des allocations budgétaires découlant du Budget du Québec 2024, notamment un montant de 1 million de dollars, sur un total de 10 millions, lors de l’exercice financier du Gouvernement du Québec de l’année 2024 2025, ont été attribuées de manière arbitraire, sans justification transparente ni respect des procédures prévues par les lois et politiques encadrant la gestion des fonds publics.</w:t>
      </w:r>
    </w:p>
    <w:p w14:paraId="423E41C5" w14:textId="5FC84F6C" w:rsidR="005A4AF1" w:rsidRPr="00BC13EE" w:rsidRDefault="005A4AF1" w:rsidP="00221144">
      <w:pPr>
        <w:spacing w:before="100" w:beforeAutospacing="1" w:after="100" w:afterAutospacing="1" w:line="240" w:lineRule="auto"/>
      </w:pPr>
      <w:r w:rsidRPr="00BC13EE">
        <w:t>Il nous est aussi établi que des allocations budgétaires découlant du Budget du Québec 2025, également estimé à un montant de 1 million de dollars, sur un total de 10 millions, lors de l’exercice financier du Gouvernement du Québec de l’année 2025-2026, sont en voie d’être attribuées de manière arbitraire, sans justification transparente ni respect des procédures prévues par les lois et politiques encadrant la gestion des fonds publics. »</w:t>
      </w:r>
    </w:p>
    <w:p w14:paraId="6EEC73B7" w14:textId="77777777" w:rsidR="008C4C36" w:rsidRDefault="008C4C36" w:rsidP="00221144">
      <w:pPr>
        <w:spacing w:before="100" w:beforeAutospacing="1" w:after="100" w:afterAutospacing="1" w:line="240" w:lineRule="auto"/>
        <w:rPr>
          <w:b/>
          <w:bCs/>
        </w:rPr>
      </w:pPr>
    </w:p>
    <w:p w14:paraId="382C7C44" w14:textId="229BC85D" w:rsidR="00334FA7" w:rsidRPr="00BC13EE" w:rsidRDefault="00334FA7" w:rsidP="00221144">
      <w:pPr>
        <w:spacing w:before="100" w:beforeAutospacing="1" w:after="100" w:afterAutospacing="1" w:line="240" w:lineRule="auto"/>
        <w:rPr>
          <w:b/>
          <w:bCs/>
        </w:rPr>
      </w:pPr>
      <w:r w:rsidRPr="00BC13EE">
        <w:rPr>
          <w:b/>
          <w:bCs/>
        </w:rPr>
        <w:t>« Tant pour les actions citées pour 2024 que si elles se reproduisaient en 2025, ces agissements contreviendraient aux obligations légales suivantes:</w:t>
      </w:r>
    </w:p>
    <w:p w14:paraId="5513BD0E" w14:textId="77777777" w:rsidR="00334FA7" w:rsidRPr="00BC13EE" w:rsidRDefault="00334FA7" w:rsidP="00221144">
      <w:pPr>
        <w:pStyle w:val="Paragraphedeliste"/>
        <w:numPr>
          <w:ilvl w:val="0"/>
          <w:numId w:val="5"/>
        </w:numPr>
        <w:spacing w:before="100" w:beforeAutospacing="1" w:after="100" w:afterAutospacing="1" w:line="240" w:lineRule="auto"/>
        <w:ind w:left="567"/>
        <w:rPr>
          <w:rFonts w:ascii="Arial Narrow" w:hAnsi="Arial Narrow"/>
          <w:i/>
          <w:iCs/>
        </w:rPr>
      </w:pPr>
      <w:r w:rsidRPr="00BC13EE">
        <w:rPr>
          <w:rFonts w:ascii="Arial Narrow" w:hAnsi="Arial Narrow"/>
        </w:rPr>
        <w:t xml:space="preserve">Violation de la </w:t>
      </w:r>
      <w:r w:rsidRPr="00BC13EE">
        <w:rPr>
          <w:rFonts w:ascii="Arial Narrow" w:hAnsi="Arial Narrow"/>
          <w:i/>
          <w:iCs/>
        </w:rPr>
        <w:t>Loi sur l’administration financière (RLRQ, c. A-6.001) :</w:t>
      </w:r>
    </w:p>
    <w:p w14:paraId="71489EFF" w14:textId="77777777" w:rsidR="00334FA7" w:rsidRPr="00BC13EE" w:rsidRDefault="00334FA7" w:rsidP="00221144">
      <w:pPr>
        <w:pStyle w:val="Paragraphedeliste"/>
        <w:numPr>
          <w:ilvl w:val="0"/>
          <w:numId w:val="4"/>
        </w:numPr>
        <w:spacing w:before="100" w:beforeAutospacing="1" w:after="100" w:afterAutospacing="1" w:line="240" w:lineRule="auto"/>
        <w:rPr>
          <w:rFonts w:ascii="Arial Narrow" w:hAnsi="Arial Narrow"/>
        </w:rPr>
      </w:pPr>
      <w:r w:rsidRPr="00BC13EE">
        <w:rPr>
          <w:rFonts w:ascii="Arial Narrow" w:hAnsi="Arial Narrow"/>
        </w:rPr>
        <w:t>L’article 45.2 impose aux ministres et organismes de respecter les orientations budgétaires pluriannuelles approuvées par le Conseil du trésor.</w:t>
      </w:r>
    </w:p>
    <w:p w14:paraId="0A087F79" w14:textId="77777777" w:rsidR="00334FA7" w:rsidRPr="00BC13EE" w:rsidRDefault="00334FA7" w:rsidP="00221144">
      <w:pPr>
        <w:pStyle w:val="Paragraphedeliste"/>
        <w:numPr>
          <w:ilvl w:val="0"/>
          <w:numId w:val="4"/>
        </w:numPr>
        <w:spacing w:before="100" w:beforeAutospacing="1" w:after="100" w:afterAutospacing="1" w:line="240" w:lineRule="auto"/>
        <w:rPr>
          <w:rFonts w:ascii="Arial Narrow" w:hAnsi="Arial Narrow"/>
        </w:rPr>
      </w:pPr>
      <w:r w:rsidRPr="00BC13EE">
        <w:rPr>
          <w:rFonts w:ascii="Arial Narrow" w:hAnsi="Arial Narrow"/>
        </w:rPr>
        <w:t>L’article 45.3 exige que les budgets annuels soient adoptés en fonction de ces orientations et transmis au Ministre responsable.</w:t>
      </w:r>
    </w:p>
    <w:p w14:paraId="6DFC2769" w14:textId="77777777" w:rsidR="00334FA7" w:rsidRPr="00BC13EE" w:rsidRDefault="00334FA7" w:rsidP="00221144">
      <w:pPr>
        <w:pStyle w:val="Paragraphedeliste"/>
        <w:numPr>
          <w:ilvl w:val="0"/>
          <w:numId w:val="5"/>
        </w:numPr>
        <w:spacing w:before="100" w:beforeAutospacing="1" w:after="100" w:afterAutospacing="1" w:line="240" w:lineRule="auto"/>
        <w:ind w:left="567"/>
        <w:rPr>
          <w:rFonts w:ascii="Arial Narrow" w:hAnsi="Arial Narrow"/>
        </w:rPr>
      </w:pPr>
      <w:r w:rsidRPr="00BC13EE">
        <w:rPr>
          <w:rFonts w:ascii="Arial Narrow" w:hAnsi="Arial Narrow"/>
        </w:rPr>
        <w:t xml:space="preserve">Manquement à la </w:t>
      </w:r>
      <w:r w:rsidRPr="00BC13EE">
        <w:rPr>
          <w:rFonts w:ascii="Arial Narrow" w:hAnsi="Arial Narrow"/>
          <w:i/>
          <w:iCs/>
        </w:rPr>
        <w:t xml:space="preserve">Loi sur l’administration publique (RLRQ, c. A-6.01) </w:t>
      </w:r>
      <w:r w:rsidRPr="00BC13EE">
        <w:rPr>
          <w:rFonts w:ascii="Arial Narrow" w:hAnsi="Arial Narrow"/>
        </w:rPr>
        <w:t>:</w:t>
      </w:r>
    </w:p>
    <w:p w14:paraId="7D80DE34" w14:textId="77777777" w:rsidR="00334FA7" w:rsidRPr="00BC13EE" w:rsidRDefault="00334FA7" w:rsidP="00221144">
      <w:pPr>
        <w:pStyle w:val="Paragraphedeliste"/>
        <w:numPr>
          <w:ilvl w:val="0"/>
          <w:numId w:val="4"/>
        </w:numPr>
        <w:spacing w:before="100" w:beforeAutospacing="1" w:after="100" w:afterAutospacing="1" w:line="240" w:lineRule="auto"/>
        <w:rPr>
          <w:rFonts w:ascii="Arial Narrow" w:hAnsi="Arial Narrow"/>
        </w:rPr>
      </w:pPr>
      <w:r w:rsidRPr="00BC13EE">
        <w:rPr>
          <w:rFonts w:ascii="Arial Narrow" w:hAnsi="Arial Narrow"/>
        </w:rPr>
        <w:t>L’article 73 prévoit que le Conseil du trésor doit s’assurer que les crédits sont utilisés conformément aux règles de gestion des ressources budgétaires.</w:t>
      </w:r>
    </w:p>
    <w:p w14:paraId="53D979C9" w14:textId="77777777" w:rsidR="00334FA7" w:rsidRPr="00BC13EE" w:rsidRDefault="00334FA7" w:rsidP="00221144">
      <w:pPr>
        <w:pStyle w:val="Paragraphedeliste"/>
        <w:numPr>
          <w:ilvl w:val="0"/>
          <w:numId w:val="4"/>
        </w:numPr>
        <w:spacing w:before="100" w:beforeAutospacing="1" w:after="100" w:afterAutospacing="1" w:line="240" w:lineRule="auto"/>
        <w:rPr>
          <w:rFonts w:ascii="Arial Narrow" w:hAnsi="Arial Narrow"/>
        </w:rPr>
      </w:pPr>
      <w:r w:rsidRPr="00BC13EE">
        <w:rPr>
          <w:rFonts w:ascii="Arial Narrow" w:hAnsi="Arial Narrow"/>
        </w:rPr>
        <w:t>L’article 77.3 permet au Conseil du trésor d’imposer des mesures correctrices en cas de dépassement ou d’utilisation non conforme des budgets.</w:t>
      </w:r>
    </w:p>
    <w:p w14:paraId="04DFEBE9" w14:textId="77777777" w:rsidR="00334FA7" w:rsidRPr="00BC13EE" w:rsidRDefault="00334FA7" w:rsidP="00221144">
      <w:pPr>
        <w:pStyle w:val="Paragraphedeliste"/>
        <w:numPr>
          <w:ilvl w:val="0"/>
          <w:numId w:val="5"/>
        </w:numPr>
        <w:spacing w:before="100" w:beforeAutospacing="1" w:after="100" w:afterAutospacing="1" w:line="240" w:lineRule="auto"/>
        <w:ind w:left="567"/>
        <w:rPr>
          <w:rFonts w:ascii="Arial Narrow" w:hAnsi="Arial Narrow"/>
        </w:rPr>
      </w:pPr>
      <w:r w:rsidRPr="00BC13EE">
        <w:rPr>
          <w:rFonts w:ascii="Arial Narrow" w:hAnsi="Arial Narrow"/>
        </w:rPr>
        <w:t>Absence de transparence et d’équité :</w:t>
      </w:r>
    </w:p>
    <w:p w14:paraId="1D69F27C" w14:textId="77777777" w:rsidR="00334FA7" w:rsidRPr="00BC13EE" w:rsidRDefault="00334FA7" w:rsidP="00221144">
      <w:pPr>
        <w:pStyle w:val="Paragraphedeliste"/>
        <w:numPr>
          <w:ilvl w:val="0"/>
          <w:numId w:val="4"/>
        </w:numPr>
        <w:spacing w:before="100" w:beforeAutospacing="1" w:after="100" w:afterAutospacing="1" w:line="240" w:lineRule="auto"/>
        <w:rPr>
          <w:rFonts w:ascii="Arial Narrow" w:hAnsi="Arial Narrow"/>
        </w:rPr>
      </w:pPr>
      <w:r w:rsidRPr="00BC13EE">
        <w:rPr>
          <w:rFonts w:ascii="Arial Narrow" w:hAnsi="Arial Narrow"/>
        </w:rPr>
        <w:t xml:space="preserve">Le </w:t>
      </w:r>
      <w:r w:rsidRPr="00BC13EE">
        <w:rPr>
          <w:rFonts w:ascii="Arial Narrow" w:hAnsi="Arial Narrow"/>
          <w:i/>
        </w:rPr>
        <w:t>Code civil du Québec</w:t>
      </w:r>
      <w:r w:rsidRPr="00BC13EE">
        <w:rPr>
          <w:rFonts w:ascii="Arial Narrow" w:hAnsi="Arial Narrow"/>
        </w:rPr>
        <w:t xml:space="preserve"> (art. 6) et les principes généraux du droit administratif exigent que les décisions publiques soient motivées, non arbitraires et conformes à l’intérêt général. Une allocation opaque et discriminatoire porte atteinte à ces principes.</w:t>
      </w:r>
    </w:p>
    <w:p w14:paraId="77FE70BD" w14:textId="77777777" w:rsidR="00334FA7" w:rsidRPr="00BC13EE" w:rsidRDefault="00334FA7" w:rsidP="00221144">
      <w:pPr>
        <w:spacing w:before="100" w:beforeAutospacing="1" w:after="100" w:afterAutospacing="1" w:line="240" w:lineRule="auto"/>
        <w:rPr>
          <w:b/>
          <w:bCs/>
        </w:rPr>
      </w:pPr>
      <w:r w:rsidRPr="00BC13EE">
        <w:rPr>
          <w:b/>
          <w:bCs/>
        </w:rPr>
        <w:t xml:space="preserve">Tant pour les actions citées pour 2024 que si elles se reproduisaient en 2025, ces agissements contreviendraient aux décisions budgétaires gouvernementales suivantes : </w:t>
      </w:r>
    </w:p>
    <w:p w14:paraId="7737E869" w14:textId="77777777" w:rsidR="00334FA7" w:rsidRPr="00BC13EE" w:rsidRDefault="00334FA7" w:rsidP="00221144">
      <w:pPr>
        <w:pStyle w:val="Paragraphedeliste"/>
        <w:numPr>
          <w:ilvl w:val="0"/>
          <w:numId w:val="5"/>
        </w:numPr>
        <w:spacing w:before="100" w:beforeAutospacing="1" w:after="100" w:afterAutospacing="1" w:line="240" w:lineRule="auto"/>
        <w:ind w:left="567"/>
        <w:rPr>
          <w:rFonts w:ascii="Arial Narrow" w:hAnsi="Arial Narrow"/>
          <w:bCs/>
        </w:rPr>
      </w:pPr>
      <w:r w:rsidRPr="00BC13EE">
        <w:rPr>
          <w:rFonts w:ascii="Arial Narrow" w:hAnsi="Arial Narrow"/>
          <w:bCs/>
        </w:rPr>
        <w:t>Non-</w:t>
      </w:r>
      <w:r w:rsidRPr="00BC13EE">
        <w:rPr>
          <w:rFonts w:ascii="Arial Narrow" w:hAnsi="Arial Narrow"/>
        </w:rPr>
        <w:t>respect</w:t>
      </w:r>
      <w:r w:rsidRPr="00BC13EE">
        <w:rPr>
          <w:rFonts w:ascii="Arial Narrow" w:hAnsi="Arial Narrow"/>
          <w:bCs/>
        </w:rPr>
        <w:t xml:space="preserve"> des documents budgétaires 2024 et 2025</w:t>
      </w:r>
      <w:r w:rsidRPr="00BC13EE">
        <w:rPr>
          <w:rFonts w:ascii="Arial Narrow" w:hAnsi="Arial Narrow" w:cs="Arial"/>
        </w:rPr>
        <w:t xml:space="preserve">. </w:t>
      </w:r>
    </w:p>
    <w:p w14:paraId="70394D99" w14:textId="77777777" w:rsidR="00BC13EE" w:rsidRDefault="00BC13EE" w:rsidP="00221144">
      <w:pPr>
        <w:rPr>
          <w:b/>
          <w:bCs/>
        </w:rPr>
      </w:pPr>
      <w:r>
        <w:rPr>
          <w:b/>
          <w:bCs/>
        </w:rPr>
        <w:br w:type="page"/>
      </w:r>
    </w:p>
    <w:p w14:paraId="2FB6F211" w14:textId="53FEC786" w:rsidR="00334FA7" w:rsidRPr="00BC13EE" w:rsidRDefault="00334FA7" w:rsidP="00221144">
      <w:pPr>
        <w:spacing w:before="100" w:beforeAutospacing="1" w:after="100" w:afterAutospacing="1" w:line="240" w:lineRule="auto"/>
        <w:rPr>
          <w:b/>
          <w:bCs/>
        </w:rPr>
      </w:pPr>
      <w:r w:rsidRPr="00BC13EE">
        <w:rPr>
          <w:b/>
          <w:bCs/>
        </w:rPr>
        <w:lastRenderedPageBreak/>
        <w:t>Tant pour les actions citées pour 2024 que si elles se reproduisaient en 2025, ces agissements contreviendraient aux obligations morales et administratives suivantes :</w:t>
      </w:r>
    </w:p>
    <w:p w14:paraId="18713A37" w14:textId="77777777" w:rsidR="00334FA7" w:rsidRPr="00BC13EE" w:rsidRDefault="00334FA7" w:rsidP="00221144">
      <w:pPr>
        <w:pStyle w:val="Paragraphedeliste"/>
        <w:numPr>
          <w:ilvl w:val="0"/>
          <w:numId w:val="5"/>
        </w:numPr>
        <w:spacing w:before="100" w:beforeAutospacing="1" w:after="100" w:afterAutospacing="1" w:line="240" w:lineRule="auto"/>
        <w:ind w:left="567"/>
        <w:rPr>
          <w:rFonts w:ascii="Arial Narrow" w:hAnsi="Arial Narrow"/>
          <w:bCs/>
          <w:i/>
        </w:rPr>
      </w:pPr>
      <w:r w:rsidRPr="00BC13EE">
        <w:rPr>
          <w:rFonts w:ascii="Arial Narrow" w:hAnsi="Arial Narrow"/>
          <w:bCs/>
        </w:rPr>
        <w:t>Non-</w:t>
      </w:r>
      <w:r w:rsidRPr="00BC13EE">
        <w:rPr>
          <w:rFonts w:ascii="Arial Narrow" w:hAnsi="Arial Narrow"/>
        </w:rPr>
        <w:t>respect</w:t>
      </w:r>
      <w:r w:rsidRPr="00BC13EE">
        <w:rPr>
          <w:rFonts w:ascii="Arial Narrow" w:hAnsi="Arial Narrow"/>
          <w:bCs/>
        </w:rPr>
        <w:t xml:space="preserve"> du </w:t>
      </w:r>
      <w:r w:rsidRPr="00BC13EE">
        <w:rPr>
          <w:rFonts w:ascii="Arial Narrow" w:hAnsi="Arial Narrow"/>
          <w:bCs/>
          <w:i/>
        </w:rPr>
        <w:t>Cadre normatif du PSOC 2023.</w:t>
      </w:r>
    </w:p>
    <w:p w14:paraId="748D8A5B" w14:textId="29840A65" w:rsidR="00BC2D79" w:rsidRPr="00BC13EE" w:rsidRDefault="00BC2D79" w:rsidP="00221144">
      <w:pPr>
        <w:spacing w:before="100" w:beforeAutospacing="1" w:after="100" w:afterAutospacing="1" w:line="240" w:lineRule="auto"/>
      </w:pPr>
      <w:r w:rsidRPr="00BC13EE">
        <w:t xml:space="preserve">En vertu des lois citées et des obligations qui en découlent, nous vous mettons en </w:t>
      </w:r>
      <w:r w:rsidRPr="00BC13EE">
        <w:rPr>
          <w:rStyle w:val="il"/>
        </w:rPr>
        <w:t>demeure</w:t>
      </w:r>
      <w:r w:rsidRPr="00BC13EE">
        <w:t xml:space="preserve"> :</w:t>
      </w:r>
    </w:p>
    <w:p w14:paraId="7501B141" w14:textId="77777777" w:rsidR="00BC2D79" w:rsidRPr="00BC13EE" w:rsidRDefault="00BC2D79" w:rsidP="00221144">
      <w:pPr>
        <w:numPr>
          <w:ilvl w:val="0"/>
          <w:numId w:val="3"/>
        </w:numPr>
        <w:spacing w:before="100" w:beforeAutospacing="1" w:after="100" w:afterAutospacing="1" w:line="240" w:lineRule="auto"/>
      </w:pPr>
      <w:r w:rsidRPr="00BC13EE">
        <w:t>D’intégrer au budget 2025-2026 du volet mission globale du PSOC, un montant de 1 million, en remplacement de celui ayant été alloué par le budget du Québec 2024, mais distribué sans égard au Cadre normatif du PSOC 2023</w:t>
      </w:r>
    </w:p>
    <w:p w14:paraId="65979350" w14:textId="77777777" w:rsidR="004002C6" w:rsidRPr="00BC13EE" w:rsidRDefault="00BC2D79" w:rsidP="00221144">
      <w:pPr>
        <w:numPr>
          <w:ilvl w:val="0"/>
          <w:numId w:val="3"/>
        </w:numPr>
        <w:spacing w:before="100" w:beforeAutospacing="1" w:after="100" w:afterAutospacing="1" w:line="240" w:lineRule="auto"/>
      </w:pPr>
      <w:r w:rsidRPr="00BC13EE">
        <w:t>Que cette somme soit ajoutée à l’enveloppe servant au rehaussement de l’ensemble des OCASSS, en respect des règles du Cadre normatif du PSOC et des articles 114 et 504 à 507 de la Loi sur la gouvernance du système de santé et de services sociaux (LGSSSS).</w:t>
      </w:r>
    </w:p>
    <w:p w14:paraId="3FC56EB3" w14:textId="77777777" w:rsidR="004002C6" w:rsidRPr="00BC13EE" w:rsidRDefault="00BC2D79" w:rsidP="00221144">
      <w:pPr>
        <w:numPr>
          <w:ilvl w:val="0"/>
          <w:numId w:val="3"/>
        </w:numPr>
        <w:spacing w:before="100" w:beforeAutospacing="1" w:after="100" w:afterAutospacing="1" w:line="240" w:lineRule="auto"/>
      </w:pPr>
      <w:r w:rsidRPr="00BC13EE">
        <w:t>De distribuer l’entièreté du montant de 10 millions de dollars alloué par le budget du Québec 2025, selon les règles du Cadre normatif du PSOC 2023;</w:t>
      </w:r>
    </w:p>
    <w:p w14:paraId="479ED048" w14:textId="77777777" w:rsidR="004002C6" w:rsidRPr="00BC13EE" w:rsidRDefault="00BC2D79" w:rsidP="00221144">
      <w:pPr>
        <w:numPr>
          <w:ilvl w:val="0"/>
          <w:numId w:val="3"/>
        </w:numPr>
        <w:spacing w:before="100" w:beforeAutospacing="1" w:after="100" w:afterAutospacing="1" w:line="240" w:lineRule="auto"/>
      </w:pPr>
      <w:r w:rsidRPr="00BC13EE">
        <w:t>Que cette somme soit maintenue dans l’enveloppe servant au rehaussement de l’ensemble des OCASSS, en respect du Cadre normatif du PSOC et des articles 114 et 504 à 507 de la Loi sur la gouvernance du système de santé et de services sociaux (LGSSSS).</w:t>
      </w:r>
    </w:p>
    <w:p w14:paraId="445BD884" w14:textId="77777777" w:rsidR="004002C6" w:rsidRPr="00BC13EE" w:rsidRDefault="00BC2D79" w:rsidP="00221144">
      <w:pPr>
        <w:numPr>
          <w:ilvl w:val="0"/>
          <w:numId w:val="3"/>
        </w:numPr>
        <w:spacing w:before="100" w:beforeAutospacing="1" w:after="100" w:afterAutospacing="1" w:line="240" w:lineRule="auto"/>
      </w:pPr>
      <w:r w:rsidRPr="00BC13EE">
        <w:t>D’ouvrir avec la Table des regroupements provinciaux d’organismes communautaires et bénévoles des travaux menant vers l’élaboration d’un plan de rehaussement du financement répondant aux attentes du communautaire;</w:t>
      </w:r>
    </w:p>
    <w:p w14:paraId="5CF9EF8A" w14:textId="61DD3B13" w:rsidR="00BC2D79" w:rsidRPr="00BC13EE" w:rsidRDefault="00BC2D79" w:rsidP="00221144">
      <w:pPr>
        <w:numPr>
          <w:ilvl w:val="0"/>
          <w:numId w:val="3"/>
        </w:numPr>
        <w:spacing w:before="100" w:beforeAutospacing="1" w:after="100" w:afterAutospacing="1" w:line="240" w:lineRule="auto"/>
      </w:pPr>
      <w:r w:rsidRPr="00BC13EE">
        <w:t>De détailler la présentation des crédits de transfert, du Budget des dépenses, de manière à assurer la transparence des fonds du PSOC, en tant que programme normé par le Conseil du Trésor.</w:t>
      </w:r>
      <w:r w:rsidR="00334FA7" w:rsidRPr="00BC13EE">
        <w:t> »</w:t>
      </w:r>
    </w:p>
    <w:p w14:paraId="3B9ED75B" w14:textId="4418A600" w:rsidR="009E10DD" w:rsidRPr="008C4C36" w:rsidRDefault="00933BCC" w:rsidP="00221144">
      <w:pPr>
        <w:widowControl w:val="0"/>
        <w:pBdr>
          <w:top w:val="nil"/>
          <w:left w:val="nil"/>
          <w:bottom w:val="nil"/>
          <w:right w:val="nil"/>
          <w:between w:val="nil"/>
        </w:pBdr>
        <w:tabs>
          <w:tab w:val="left" w:pos="142"/>
        </w:tabs>
        <w:spacing w:before="100" w:beforeAutospacing="1" w:after="100" w:afterAutospacing="1" w:line="240" w:lineRule="auto"/>
        <w:ind w:right="-519"/>
        <w:rPr>
          <w:rFonts w:eastAsia="Arial Narrow" w:cstheme="minorHAnsi"/>
          <w:b/>
          <w:color w:val="000000"/>
          <w:sz w:val="28"/>
          <w:szCs w:val="28"/>
        </w:rPr>
      </w:pPr>
      <w:r w:rsidRPr="008C4C36">
        <w:rPr>
          <w:rFonts w:eastAsia="Arial Narrow" w:cstheme="minorHAnsi"/>
          <w:b/>
          <w:color w:val="000000"/>
          <w:sz w:val="28"/>
          <w:szCs w:val="28"/>
        </w:rPr>
        <w:t>À propos</w:t>
      </w:r>
      <w:r w:rsidR="00094AE2" w:rsidRPr="008C4C36">
        <w:rPr>
          <w:rFonts w:eastAsia="Arial Narrow" w:cstheme="minorHAnsi"/>
          <w:b/>
          <w:color w:val="000000"/>
          <w:sz w:val="28"/>
          <w:szCs w:val="28"/>
        </w:rPr>
        <w:t xml:space="preserve"> </w:t>
      </w:r>
    </w:p>
    <w:p w14:paraId="40BAB757" w14:textId="5AFB9856" w:rsidR="00933BCC" w:rsidRPr="00BC13EE" w:rsidRDefault="00094AE2" w:rsidP="00221144">
      <w:pPr>
        <w:widowControl w:val="0"/>
        <w:pBdr>
          <w:top w:val="nil"/>
          <w:left w:val="nil"/>
          <w:bottom w:val="nil"/>
          <w:right w:val="nil"/>
          <w:between w:val="nil"/>
        </w:pBdr>
        <w:tabs>
          <w:tab w:val="left" w:pos="142"/>
          <w:tab w:val="left" w:pos="5954"/>
        </w:tabs>
        <w:spacing w:before="100" w:beforeAutospacing="1" w:after="100" w:afterAutospacing="1" w:line="240" w:lineRule="auto"/>
        <w:ind w:right="-519"/>
        <w:rPr>
          <w:rFonts w:eastAsia="Arial Narrow" w:cstheme="minorHAnsi"/>
          <w:color w:val="000000"/>
        </w:rPr>
      </w:pPr>
      <w:r w:rsidRPr="00BC13EE">
        <w:rPr>
          <w:rFonts w:eastAsia="Arial Narrow" w:cstheme="minorHAnsi"/>
          <w:color w:val="000000"/>
        </w:rPr>
        <w:t>F</w:t>
      </w:r>
      <w:r w:rsidR="00933BCC" w:rsidRPr="00BC13EE">
        <w:rPr>
          <w:rFonts w:eastAsia="Arial Narrow" w:cstheme="minorHAnsi"/>
          <w:color w:val="000000"/>
        </w:rPr>
        <w:t xml:space="preserve">ondée en 1995, la </w:t>
      </w:r>
      <w:hyperlink r:id="rId23">
        <w:r w:rsidR="00933BCC" w:rsidRPr="00BC13EE">
          <w:rPr>
            <w:rFonts w:eastAsia="Arial Narrow" w:cstheme="minorHAnsi"/>
            <w:color w:val="0000FF"/>
            <w:u w:val="single"/>
          </w:rPr>
          <w:t>Table des regroupements provinciaux d’organismes communautaires et bénévoles</w:t>
        </w:r>
      </w:hyperlink>
      <w:r w:rsidR="00933BCC" w:rsidRPr="00BC13EE">
        <w:rPr>
          <w:rFonts w:eastAsia="Arial Narrow" w:cstheme="minorHAnsi"/>
        </w:rPr>
        <w:t xml:space="preserve"> </w:t>
      </w:r>
      <w:r w:rsidR="00933BCC" w:rsidRPr="00BC13EE">
        <w:rPr>
          <w:rFonts w:eastAsia="Arial Narrow" w:cstheme="minorHAnsi"/>
          <w:color w:val="000000"/>
        </w:rPr>
        <w:t xml:space="preserve">(TRPOCB) est formée de </w:t>
      </w:r>
      <w:hyperlink r:id="rId24">
        <w:r w:rsidR="00933BCC" w:rsidRPr="00BC13EE">
          <w:rPr>
            <w:rFonts w:eastAsia="Arial Narrow" w:cstheme="minorHAnsi"/>
            <w:color w:val="0000FF"/>
            <w:u w:val="single"/>
          </w:rPr>
          <w:t>4</w:t>
        </w:r>
        <w:r w:rsidR="00796653" w:rsidRPr="00BC13EE">
          <w:rPr>
            <w:rFonts w:eastAsia="Arial Narrow" w:cstheme="minorHAnsi"/>
            <w:color w:val="0000FF"/>
            <w:u w:val="single"/>
          </w:rPr>
          <w:t>7</w:t>
        </w:r>
        <w:r w:rsidR="00933BCC" w:rsidRPr="00BC13EE">
          <w:rPr>
            <w:rFonts w:eastAsia="Arial Narrow" w:cstheme="minorHAnsi"/>
            <w:color w:val="0000FF"/>
            <w:u w:val="single"/>
          </w:rPr>
          <w:t xml:space="preserve"> regroupements nationaux</w:t>
        </w:r>
      </w:hyperlink>
      <w:r w:rsidR="00933BCC" w:rsidRPr="00BC13EE">
        <w:rPr>
          <w:rFonts w:eastAsia="Arial Narrow" w:cstheme="minorHAnsi"/>
        </w:rPr>
        <w:t>,</w:t>
      </w:r>
      <w:r w:rsidR="00933BCC" w:rsidRPr="00BC13EE">
        <w:rPr>
          <w:rFonts w:eastAsia="Arial Narrow" w:cstheme="minorHAnsi"/>
          <w:color w:val="000000"/>
        </w:rPr>
        <w:t xml:space="preserve"> rejoignant plus de 3 000 groupes communautaires autonomes à travers le Québec. Ce sont, par exemple, des maisons de jeunes, des centres de femmes, des cuisines collectives, des maisons d’hébergement, des groupes d’entraide, des centres communautaires, des groupes qui luttent contre des injustices ayant des répercussions sur la santé. Ceux-ci représentent </w:t>
      </w:r>
      <w:r w:rsidR="00221144">
        <w:rPr>
          <w:rFonts w:eastAsia="Arial Narrow" w:cstheme="minorHAnsi"/>
          <w:color w:val="000000"/>
        </w:rPr>
        <w:t xml:space="preserve">plus que les 2/3 </w:t>
      </w:r>
      <w:r w:rsidR="00933BCC" w:rsidRPr="00BC13EE">
        <w:rPr>
          <w:rFonts w:eastAsia="Arial Narrow" w:cstheme="minorHAnsi"/>
          <w:color w:val="000000"/>
        </w:rPr>
        <w:t xml:space="preserve">des organismes </w:t>
      </w:r>
      <w:r w:rsidR="00933BCC" w:rsidRPr="00BC13EE">
        <w:rPr>
          <w:rFonts w:eastAsia="Arial Narrow" w:cstheme="minorHAnsi"/>
        </w:rPr>
        <w:t>communautaires</w:t>
      </w:r>
      <w:r w:rsidR="00933BCC" w:rsidRPr="00BC13EE">
        <w:rPr>
          <w:rFonts w:eastAsia="Arial Narrow" w:cstheme="minorHAnsi"/>
          <w:color w:val="000000"/>
        </w:rPr>
        <w:t xml:space="preserve"> autonomes du Québec. Ceux-ci abordent la santé et les services sociaux sous différentes perspectives</w:t>
      </w:r>
      <w:r w:rsidR="00842E5F" w:rsidRPr="00BC13EE">
        <w:rPr>
          <w:rFonts w:eastAsia="Arial Narrow" w:cstheme="minorHAnsi"/>
          <w:color w:val="000000"/>
        </w:rPr>
        <w:t xml:space="preserve"> : </w:t>
      </w:r>
      <w:r w:rsidR="00933BCC" w:rsidRPr="00BC13EE">
        <w:rPr>
          <w:rFonts w:eastAsia="Arial Narrow" w:cstheme="minorHAnsi"/>
          <w:color w:val="000000"/>
        </w:rPr>
        <w:t>femmes, jeunes, hébergement, famille, personnes handicapées, communautés ethnoculturelles, sécurité alimentaire, santé mentale, violence, périnatalité, toxicomanie, etc.</w:t>
      </w:r>
    </w:p>
    <w:p w14:paraId="56184A70" w14:textId="30DEF55C" w:rsidR="00933BCC" w:rsidRPr="00796653" w:rsidRDefault="00933BCC" w:rsidP="00221144">
      <w:pPr>
        <w:tabs>
          <w:tab w:val="left" w:pos="142"/>
        </w:tabs>
        <w:spacing w:before="100" w:beforeAutospacing="1" w:after="100" w:afterAutospacing="1" w:line="240" w:lineRule="auto"/>
        <w:ind w:right="-574"/>
        <w:rPr>
          <w:rFonts w:eastAsia="Times New Roman" w:cstheme="minorHAnsi"/>
        </w:rPr>
      </w:pPr>
      <w:r w:rsidRPr="00BC13EE">
        <w:rPr>
          <w:rFonts w:eastAsia="Arial Narrow" w:cstheme="minorHAnsi"/>
          <w:color w:val="000000"/>
        </w:rPr>
        <w:t xml:space="preserve">La Table coordonne la </w:t>
      </w:r>
      <w:hyperlink r:id="rId25">
        <w:r w:rsidRPr="00BC13EE">
          <w:rPr>
            <w:rFonts w:eastAsia="Arial Narrow" w:cstheme="minorHAnsi"/>
            <w:color w:val="0000FF"/>
            <w:u w:val="single"/>
          </w:rPr>
          <w:t xml:space="preserve">campagne </w:t>
        </w:r>
      </w:hyperlink>
      <w:hyperlink r:id="rId26">
        <w:r w:rsidRPr="00BC13EE">
          <w:rPr>
            <w:rFonts w:eastAsia="Arial Narrow" w:cstheme="minorHAnsi"/>
            <w:i/>
            <w:color w:val="0000FF"/>
            <w:u w:val="single"/>
          </w:rPr>
          <w:t>CA$$$H</w:t>
        </w:r>
      </w:hyperlink>
      <w:hyperlink r:id="rId27">
        <w:r w:rsidRPr="00BC13EE">
          <w:rPr>
            <w:rFonts w:eastAsia="Arial Narrow" w:cstheme="minorHAnsi"/>
            <w:color w:val="0000FF"/>
            <w:u w:val="single"/>
          </w:rPr>
          <w:t xml:space="preserve"> (Communautaire autonome en santé et services sociaux – Haussez le financement</w:t>
        </w:r>
      </w:hyperlink>
      <w:r w:rsidRPr="00BC13EE">
        <w:rPr>
          <w:rFonts w:eastAsia="Arial Narrow" w:cstheme="minorHAnsi"/>
        </w:rPr>
        <w:t xml:space="preserve">). </w:t>
      </w:r>
      <w:r w:rsidRPr="00BC13EE">
        <w:rPr>
          <w:rFonts w:eastAsia="Arial Narrow" w:cstheme="minorHAnsi"/>
          <w:color w:val="000000"/>
        </w:rPr>
        <w:t xml:space="preserve">Lancée le 17 octobre 2017, cette campagne vise l’amélioration substantielle du Programme de soutien aux organismes communautaires (PSOC) du ministère de la Santé et des Services sociaux (MSSS), au bénéfice de plus de 3 000 organismes communautaires autonomes subventionnés par le MSSS. </w:t>
      </w:r>
      <w:r w:rsidR="00353FDE" w:rsidRPr="00BC13EE">
        <w:rPr>
          <w:rFonts w:eastAsia="Arial Narrow" w:cstheme="minorHAnsi"/>
          <w:color w:val="000000"/>
        </w:rPr>
        <w:t xml:space="preserve">Depuis </w:t>
      </w:r>
      <w:r w:rsidRPr="00BC13EE">
        <w:rPr>
          <w:rFonts w:eastAsia="Arial Narrow" w:cstheme="minorHAnsi"/>
          <w:color w:val="000000"/>
        </w:rPr>
        <w:t xml:space="preserve">2024, les revendications de la campagne </w:t>
      </w:r>
      <w:r w:rsidRPr="00BC13EE">
        <w:rPr>
          <w:rFonts w:eastAsia="Arial Narrow" w:cstheme="minorHAnsi"/>
          <w:i/>
          <w:iCs/>
          <w:color w:val="000000"/>
        </w:rPr>
        <w:t>CA$$$H</w:t>
      </w:r>
      <w:r w:rsidRPr="00BC13EE">
        <w:rPr>
          <w:rFonts w:eastAsia="Arial Narrow" w:cstheme="minorHAnsi"/>
          <w:color w:val="000000"/>
        </w:rPr>
        <w:t xml:space="preserve"> sont :</w:t>
      </w:r>
      <w:r w:rsidRPr="00BC13EE">
        <w:rPr>
          <w:rFonts w:eastAsia="Times New Roman" w:cstheme="minorHAnsi"/>
        </w:rPr>
        <w:t xml:space="preserve"> L’ajout </w:t>
      </w:r>
      <w:hyperlink r:id="rId28" w:history="1">
        <w:r w:rsidRPr="00BC13EE">
          <w:rPr>
            <w:rFonts w:eastAsia="Times New Roman" w:cstheme="minorHAnsi"/>
            <w:color w:val="0000FF"/>
            <w:u w:val="single"/>
          </w:rPr>
          <w:t>de 1,7 G$ à l’enveloppe annuelle du PSOC</w:t>
        </w:r>
      </w:hyperlink>
      <w:r w:rsidRPr="00BC13EE">
        <w:rPr>
          <w:rFonts w:eastAsia="Times New Roman" w:cstheme="minorHAnsi"/>
        </w:rPr>
        <w:t xml:space="preserve"> (mission globale), l’indexation annuelle des subventions en fonction de </w:t>
      </w:r>
      <w:hyperlink r:id="rId29" w:history="1">
        <w:r w:rsidRPr="00BC13EE">
          <w:rPr>
            <w:rFonts w:eastAsia="Times New Roman" w:cstheme="minorHAnsi"/>
            <w:color w:val="0000FF"/>
            <w:u w:val="single"/>
          </w:rPr>
          <w:t>l’Indice des coûts de fonctionnement du communautaire (ICFC</w:t>
        </w:r>
      </w:hyperlink>
      <w:r w:rsidRPr="00BC13EE">
        <w:rPr>
          <w:rFonts w:eastAsia="Times New Roman" w:cstheme="minorHAnsi"/>
        </w:rPr>
        <w:t>) et l’atteinte de</w:t>
      </w:r>
      <w:hyperlink r:id="rId30" w:history="1">
        <w:r w:rsidRPr="00BC13EE">
          <w:rPr>
            <w:rFonts w:eastAsia="Times New Roman" w:cstheme="minorHAnsi"/>
            <w:color w:val="0000FF"/>
            <w:u w:val="single"/>
          </w:rPr>
          <w:t xml:space="preserve"> l’équité de financement et de traitement partout au Québec</w:t>
        </w:r>
      </w:hyperlink>
      <w:r w:rsidRPr="00BC13EE">
        <w:rPr>
          <w:rFonts w:eastAsia="Times New Roman" w:cstheme="minorHAnsi"/>
        </w:rPr>
        <w:t>.</w:t>
      </w:r>
    </w:p>
    <w:sectPr w:rsidR="00933BCC" w:rsidRPr="00796653" w:rsidSect="00094AE2">
      <w:headerReference w:type="default" r:id="rId31"/>
      <w:footerReference w:type="default" r:id="rId32"/>
      <w:headerReference w:type="first" r:id="rId33"/>
      <w:footerReference w:type="first" r:id="rId3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DC4C" w14:textId="77777777" w:rsidR="000B16B4" w:rsidRDefault="000B16B4" w:rsidP="00A42EE7">
      <w:pPr>
        <w:spacing w:after="0" w:line="240" w:lineRule="auto"/>
      </w:pPr>
      <w:r>
        <w:separator/>
      </w:r>
    </w:p>
  </w:endnote>
  <w:endnote w:type="continuationSeparator" w:id="0">
    <w:p w14:paraId="74E41E12" w14:textId="77777777" w:rsidR="000B16B4" w:rsidRDefault="000B16B4" w:rsidP="00A4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826051"/>
      <w:docPartObj>
        <w:docPartGallery w:val="Page Numbers (Bottom of Page)"/>
        <w:docPartUnique/>
      </w:docPartObj>
    </w:sdtPr>
    <w:sdtEndPr/>
    <w:sdtContent>
      <w:p w14:paraId="0C91CFA4" w14:textId="74FF41EE" w:rsidR="00244A57" w:rsidRDefault="00244A57">
        <w:pPr>
          <w:pStyle w:val="Pieddepage"/>
          <w:jc w:val="right"/>
        </w:pPr>
        <w:r>
          <w:fldChar w:fldCharType="begin"/>
        </w:r>
        <w:r>
          <w:instrText>PAGE   \* MERGEFORMAT</w:instrText>
        </w:r>
        <w:r>
          <w:fldChar w:fldCharType="separate"/>
        </w:r>
        <w:r w:rsidR="00E00E0A" w:rsidRPr="00E00E0A">
          <w:rPr>
            <w:noProof/>
            <w:lang w:val="fr-FR"/>
          </w:rPr>
          <w:t>2</w:t>
        </w:r>
        <w:r>
          <w:fldChar w:fldCharType="end"/>
        </w:r>
      </w:p>
    </w:sdtContent>
  </w:sdt>
  <w:p w14:paraId="00937EA9" w14:textId="77777777" w:rsidR="00DA578F" w:rsidRDefault="00DA57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FBDA" w14:textId="6302EC08" w:rsidR="00842E5F" w:rsidRDefault="00842E5F">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55D9" w14:textId="77777777" w:rsidR="000B16B4" w:rsidRDefault="000B16B4" w:rsidP="00A42EE7">
      <w:pPr>
        <w:spacing w:after="0" w:line="240" w:lineRule="auto"/>
      </w:pPr>
      <w:r>
        <w:separator/>
      </w:r>
    </w:p>
  </w:footnote>
  <w:footnote w:type="continuationSeparator" w:id="0">
    <w:p w14:paraId="161B8CB1" w14:textId="77777777" w:rsidR="000B16B4" w:rsidRDefault="000B16B4" w:rsidP="00A42EE7">
      <w:pPr>
        <w:spacing w:after="0" w:line="240" w:lineRule="auto"/>
      </w:pPr>
      <w:r>
        <w:continuationSeparator/>
      </w:r>
    </w:p>
  </w:footnote>
  <w:footnote w:id="1">
    <w:p w14:paraId="31DF3C87" w14:textId="07F152E7" w:rsidR="00C80292" w:rsidRDefault="00C80292">
      <w:pPr>
        <w:pStyle w:val="Notedebasdepage"/>
      </w:pPr>
      <w:r>
        <w:rPr>
          <w:rStyle w:val="Appelnotedebasdep"/>
        </w:rPr>
        <w:footnoteRef/>
      </w:r>
      <w:r>
        <w:t xml:space="preserve"> </w:t>
      </w:r>
      <w:r w:rsidRPr="00C23D9A">
        <w:t>Journal des débats de l'Assemblée nationale, 43</w:t>
      </w:r>
      <w:r w:rsidRPr="00C23D9A">
        <w:rPr>
          <w:vertAlign w:val="superscript"/>
        </w:rPr>
        <w:t>e</w:t>
      </w:r>
      <w:r w:rsidRPr="00C23D9A">
        <w:t xml:space="preserve"> législature, 1</w:t>
      </w:r>
      <w:r w:rsidRPr="00C23D9A">
        <w:rPr>
          <w:vertAlign w:val="superscript"/>
        </w:rPr>
        <w:t>re</w:t>
      </w:r>
      <w:r w:rsidRPr="00C23D9A">
        <w:t xml:space="preserve"> session, Le mercredi 26 mars 2025 - Vol. 47 N° 193 </w:t>
      </w:r>
      <w:hyperlink r:id="rId1" w:history="1">
        <w:r w:rsidRPr="00C80292">
          <w:rPr>
            <w:rStyle w:val="Lienhypertexte"/>
          </w:rPr>
          <w:t>https://www.assnat.qc.ca/fr/travaux-parlementaires/assemblee-nationale/43-1/journal-debats/20250326/403489.html vers 15h20</w:t>
        </w:r>
      </w:hyperlink>
      <w:r w:rsidRPr="00C80292">
        <w:t xml:space="preserve"> et le mercredi 30 avril 2025 - Vol. 47 N° 92 </w:t>
      </w:r>
      <w:hyperlink r:id="rId2" w:history="1">
        <w:r w:rsidRPr="00C80292">
          <w:rPr>
            <w:rStyle w:val="Lienhypertexte"/>
          </w:rPr>
          <w:t>https://www.assnat.qc.ca/fr/travaux-parlementaires/commissions/csss-43-1/journal-debats/CSSS-250430.html</w:t>
        </w:r>
      </w:hyperlink>
      <w:r w:rsidRPr="00C23D9A">
        <w:t xml:space="preserve"> vers 17h10.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D3B3" w14:textId="47B7F193" w:rsidR="00DA578F" w:rsidRDefault="00DA57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3224" w14:textId="3BBEB3F1" w:rsidR="00B93D5B" w:rsidRDefault="00163C0F" w:rsidP="00163C0F">
    <w:pPr>
      <w:pStyle w:val="En-tte"/>
      <w:jc w:val="center"/>
    </w:pPr>
    <w:r>
      <w:rPr>
        <w:noProof/>
        <w:lang w:eastAsia="fr-CA"/>
      </w:rPr>
      <w:drawing>
        <wp:inline distT="0" distB="0" distL="0" distR="0" wp14:anchorId="1E09FE18" wp14:editId="7CC84C48">
          <wp:extent cx="4155034" cy="892311"/>
          <wp:effectExtent l="0" t="0" r="0" b="3175"/>
          <wp:docPr id="714994005" name="Image 4" descr="Une image contenant texte, capture d’écran, horlog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94005" name="Image 4" descr="Une image contenant texte, capture d’écran, horloge, Police&#10;&#10;Le contenu généré par l’IA peut être incorrect."/>
                  <pic:cNvPicPr/>
                </pic:nvPicPr>
                <pic:blipFill rotWithShape="1">
                  <a:blip r:embed="rId1">
                    <a:extLst>
                      <a:ext uri="{28A0092B-C50C-407E-A947-70E740481C1C}">
                        <a14:useLocalDpi xmlns:a14="http://schemas.microsoft.com/office/drawing/2010/main" val="0"/>
                      </a:ext>
                    </a:extLst>
                  </a:blip>
                  <a:srcRect t="21608" b="13944"/>
                  <a:stretch/>
                </pic:blipFill>
                <pic:spPr bwMode="auto">
                  <a:xfrm>
                    <a:off x="0" y="0"/>
                    <a:ext cx="4192836" cy="9004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F2C"/>
    <w:multiLevelType w:val="hybridMultilevel"/>
    <w:tmpl w:val="728849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0E3C78"/>
    <w:multiLevelType w:val="multilevel"/>
    <w:tmpl w:val="EAC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F3E85"/>
    <w:multiLevelType w:val="hybridMultilevel"/>
    <w:tmpl w:val="CB3A1FF4"/>
    <w:lvl w:ilvl="0" w:tplc="4D681D28">
      <w:start w:val="1"/>
      <w:numFmt w:val="decimal"/>
      <w:pStyle w:val="Titre1"/>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B538AD"/>
    <w:multiLevelType w:val="multilevel"/>
    <w:tmpl w:val="FD229B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3F5381"/>
    <w:multiLevelType w:val="hybridMultilevel"/>
    <w:tmpl w:val="A29833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4A8A3442"/>
    <w:multiLevelType w:val="hybridMultilevel"/>
    <w:tmpl w:val="BD24BA2A"/>
    <w:lvl w:ilvl="0" w:tplc="6C8256E4">
      <w:start w:val="1"/>
      <w:numFmt w:val="bullet"/>
      <w:lvlText w:val="-"/>
      <w:lvlJc w:val="left"/>
      <w:pPr>
        <w:ind w:left="720" w:hanging="360"/>
      </w:pPr>
      <w:rPr>
        <w:rFonts w:ascii="Aptos" w:hAnsi="Aptos" w:hint="default"/>
      </w:rPr>
    </w:lvl>
    <w:lvl w:ilvl="1" w:tplc="012C3E94">
      <w:start w:val="1"/>
      <w:numFmt w:val="bullet"/>
      <w:lvlText w:val="o"/>
      <w:lvlJc w:val="left"/>
      <w:pPr>
        <w:ind w:left="1440" w:hanging="360"/>
      </w:pPr>
      <w:rPr>
        <w:rFonts w:ascii="Courier New" w:hAnsi="Courier New" w:hint="default"/>
      </w:rPr>
    </w:lvl>
    <w:lvl w:ilvl="2" w:tplc="2F8A3F22">
      <w:start w:val="1"/>
      <w:numFmt w:val="bullet"/>
      <w:lvlText w:val=""/>
      <w:lvlJc w:val="left"/>
      <w:pPr>
        <w:ind w:left="2160" w:hanging="360"/>
      </w:pPr>
      <w:rPr>
        <w:rFonts w:ascii="Wingdings" w:hAnsi="Wingdings" w:hint="default"/>
      </w:rPr>
    </w:lvl>
    <w:lvl w:ilvl="3" w:tplc="56FA242C">
      <w:start w:val="1"/>
      <w:numFmt w:val="bullet"/>
      <w:lvlText w:val=""/>
      <w:lvlJc w:val="left"/>
      <w:pPr>
        <w:ind w:left="2880" w:hanging="360"/>
      </w:pPr>
      <w:rPr>
        <w:rFonts w:ascii="Symbol" w:hAnsi="Symbol" w:hint="default"/>
      </w:rPr>
    </w:lvl>
    <w:lvl w:ilvl="4" w:tplc="332C68D8">
      <w:start w:val="1"/>
      <w:numFmt w:val="bullet"/>
      <w:lvlText w:val="o"/>
      <w:lvlJc w:val="left"/>
      <w:pPr>
        <w:ind w:left="3600" w:hanging="360"/>
      </w:pPr>
      <w:rPr>
        <w:rFonts w:ascii="Courier New" w:hAnsi="Courier New" w:hint="default"/>
      </w:rPr>
    </w:lvl>
    <w:lvl w:ilvl="5" w:tplc="A9501744">
      <w:start w:val="1"/>
      <w:numFmt w:val="bullet"/>
      <w:lvlText w:val=""/>
      <w:lvlJc w:val="left"/>
      <w:pPr>
        <w:ind w:left="4320" w:hanging="360"/>
      </w:pPr>
      <w:rPr>
        <w:rFonts w:ascii="Wingdings" w:hAnsi="Wingdings" w:hint="default"/>
      </w:rPr>
    </w:lvl>
    <w:lvl w:ilvl="6" w:tplc="E752E6AE">
      <w:start w:val="1"/>
      <w:numFmt w:val="bullet"/>
      <w:lvlText w:val=""/>
      <w:lvlJc w:val="left"/>
      <w:pPr>
        <w:ind w:left="5040" w:hanging="360"/>
      </w:pPr>
      <w:rPr>
        <w:rFonts w:ascii="Symbol" w:hAnsi="Symbol" w:hint="default"/>
      </w:rPr>
    </w:lvl>
    <w:lvl w:ilvl="7" w:tplc="485C5B40">
      <w:start w:val="1"/>
      <w:numFmt w:val="bullet"/>
      <w:lvlText w:val="o"/>
      <w:lvlJc w:val="left"/>
      <w:pPr>
        <w:ind w:left="5760" w:hanging="360"/>
      </w:pPr>
      <w:rPr>
        <w:rFonts w:ascii="Courier New" w:hAnsi="Courier New" w:hint="default"/>
      </w:rPr>
    </w:lvl>
    <w:lvl w:ilvl="8" w:tplc="1984336C">
      <w:start w:val="1"/>
      <w:numFmt w:val="bullet"/>
      <w:lvlText w:val=""/>
      <w:lvlJc w:val="left"/>
      <w:pPr>
        <w:ind w:left="6480" w:hanging="360"/>
      </w:pPr>
      <w:rPr>
        <w:rFonts w:ascii="Wingdings" w:hAnsi="Wingdings" w:hint="default"/>
      </w:rPr>
    </w:lvl>
  </w:abstractNum>
  <w:num w:numId="1" w16cid:durableId="838811850">
    <w:abstractNumId w:val="2"/>
  </w:num>
  <w:num w:numId="2" w16cid:durableId="1565869808">
    <w:abstractNumId w:val="3"/>
  </w:num>
  <w:num w:numId="3" w16cid:durableId="1804469643">
    <w:abstractNumId w:val="1"/>
  </w:num>
  <w:num w:numId="4" w16cid:durableId="729571606">
    <w:abstractNumId w:val="5"/>
  </w:num>
  <w:num w:numId="5" w16cid:durableId="1705323363">
    <w:abstractNumId w:val="4"/>
  </w:num>
  <w:num w:numId="6" w16cid:durableId="73940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CF"/>
    <w:rsid w:val="000375DC"/>
    <w:rsid w:val="000536EC"/>
    <w:rsid w:val="00057963"/>
    <w:rsid w:val="00063ABD"/>
    <w:rsid w:val="00094AE2"/>
    <w:rsid w:val="000A5419"/>
    <w:rsid w:val="000B16B4"/>
    <w:rsid w:val="000E73AD"/>
    <w:rsid w:val="000F345C"/>
    <w:rsid w:val="001154A5"/>
    <w:rsid w:val="00132DA8"/>
    <w:rsid w:val="00142936"/>
    <w:rsid w:val="0015258A"/>
    <w:rsid w:val="00153AD5"/>
    <w:rsid w:val="001543B3"/>
    <w:rsid w:val="00163C0F"/>
    <w:rsid w:val="00173164"/>
    <w:rsid w:val="0017669E"/>
    <w:rsid w:val="001C00E5"/>
    <w:rsid w:val="001E78EB"/>
    <w:rsid w:val="001F6591"/>
    <w:rsid w:val="00200B90"/>
    <w:rsid w:val="0021079D"/>
    <w:rsid w:val="0021163A"/>
    <w:rsid w:val="00221144"/>
    <w:rsid w:val="00240701"/>
    <w:rsid w:val="00244A57"/>
    <w:rsid w:val="00254097"/>
    <w:rsid w:val="00263574"/>
    <w:rsid w:val="00274020"/>
    <w:rsid w:val="002C58E4"/>
    <w:rsid w:val="002F2130"/>
    <w:rsid w:val="00334FA7"/>
    <w:rsid w:val="00353FDE"/>
    <w:rsid w:val="003A7DE9"/>
    <w:rsid w:val="004002C6"/>
    <w:rsid w:val="00424BCF"/>
    <w:rsid w:val="00424F20"/>
    <w:rsid w:val="0042544A"/>
    <w:rsid w:val="0045236A"/>
    <w:rsid w:val="004539E5"/>
    <w:rsid w:val="00485DEB"/>
    <w:rsid w:val="00493F19"/>
    <w:rsid w:val="004940DF"/>
    <w:rsid w:val="004A66E8"/>
    <w:rsid w:val="004C224F"/>
    <w:rsid w:val="004D1E21"/>
    <w:rsid w:val="004E39BB"/>
    <w:rsid w:val="004E65EF"/>
    <w:rsid w:val="00507143"/>
    <w:rsid w:val="00532C83"/>
    <w:rsid w:val="00553C81"/>
    <w:rsid w:val="00561C9E"/>
    <w:rsid w:val="00566317"/>
    <w:rsid w:val="00566C1E"/>
    <w:rsid w:val="00580771"/>
    <w:rsid w:val="005A2A97"/>
    <w:rsid w:val="005A4AF1"/>
    <w:rsid w:val="005C395F"/>
    <w:rsid w:val="005D05B1"/>
    <w:rsid w:val="005D7398"/>
    <w:rsid w:val="005D7928"/>
    <w:rsid w:val="005F75A8"/>
    <w:rsid w:val="00616AF0"/>
    <w:rsid w:val="0061724A"/>
    <w:rsid w:val="006520D4"/>
    <w:rsid w:val="00667239"/>
    <w:rsid w:val="0068101F"/>
    <w:rsid w:val="00695C74"/>
    <w:rsid w:val="006E79BA"/>
    <w:rsid w:val="00701C0F"/>
    <w:rsid w:val="0072166F"/>
    <w:rsid w:val="0072245E"/>
    <w:rsid w:val="007345CD"/>
    <w:rsid w:val="007569FA"/>
    <w:rsid w:val="007606AE"/>
    <w:rsid w:val="00796346"/>
    <w:rsid w:val="00796653"/>
    <w:rsid w:val="007A74EF"/>
    <w:rsid w:val="007B2FAE"/>
    <w:rsid w:val="007C0D43"/>
    <w:rsid w:val="00805CEF"/>
    <w:rsid w:val="0081595E"/>
    <w:rsid w:val="0084067B"/>
    <w:rsid w:val="00842E5F"/>
    <w:rsid w:val="0086616F"/>
    <w:rsid w:val="00892818"/>
    <w:rsid w:val="008C4C36"/>
    <w:rsid w:val="008E36F4"/>
    <w:rsid w:val="0092597F"/>
    <w:rsid w:val="00933BCC"/>
    <w:rsid w:val="009675EE"/>
    <w:rsid w:val="009716C5"/>
    <w:rsid w:val="009820B3"/>
    <w:rsid w:val="009C1600"/>
    <w:rsid w:val="009E10DD"/>
    <w:rsid w:val="009F3827"/>
    <w:rsid w:val="00A04EAB"/>
    <w:rsid w:val="00A42EE7"/>
    <w:rsid w:val="00AE6FC4"/>
    <w:rsid w:val="00B265A1"/>
    <w:rsid w:val="00B41960"/>
    <w:rsid w:val="00B50ACF"/>
    <w:rsid w:val="00B55EC5"/>
    <w:rsid w:val="00B7390A"/>
    <w:rsid w:val="00B93D5B"/>
    <w:rsid w:val="00BA1F7A"/>
    <w:rsid w:val="00BA490A"/>
    <w:rsid w:val="00BA7634"/>
    <w:rsid w:val="00BC13EE"/>
    <w:rsid w:val="00BC2D79"/>
    <w:rsid w:val="00BD552B"/>
    <w:rsid w:val="00BF79E0"/>
    <w:rsid w:val="00C04FBB"/>
    <w:rsid w:val="00C12EAE"/>
    <w:rsid w:val="00C149EC"/>
    <w:rsid w:val="00C40817"/>
    <w:rsid w:val="00C73E2E"/>
    <w:rsid w:val="00C80292"/>
    <w:rsid w:val="00CB6EBB"/>
    <w:rsid w:val="00CC018E"/>
    <w:rsid w:val="00CF1308"/>
    <w:rsid w:val="00CF3306"/>
    <w:rsid w:val="00D10C24"/>
    <w:rsid w:val="00D146ED"/>
    <w:rsid w:val="00D17BC3"/>
    <w:rsid w:val="00D61C42"/>
    <w:rsid w:val="00D74055"/>
    <w:rsid w:val="00D76E97"/>
    <w:rsid w:val="00D8075C"/>
    <w:rsid w:val="00D81726"/>
    <w:rsid w:val="00D833A3"/>
    <w:rsid w:val="00DA4622"/>
    <w:rsid w:val="00DA578F"/>
    <w:rsid w:val="00DC045B"/>
    <w:rsid w:val="00DC331A"/>
    <w:rsid w:val="00DF0198"/>
    <w:rsid w:val="00E00E0A"/>
    <w:rsid w:val="00E14253"/>
    <w:rsid w:val="00E55FA3"/>
    <w:rsid w:val="00E9034C"/>
    <w:rsid w:val="00ED3934"/>
    <w:rsid w:val="00EF4717"/>
    <w:rsid w:val="00F23B61"/>
    <w:rsid w:val="00F477A9"/>
    <w:rsid w:val="00F55982"/>
    <w:rsid w:val="00F65D1F"/>
    <w:rsid w:val="00F72604"/>
    <w:rsid w:val="00F73A04"/>
    <w:rsid w:val="00F85706"/>
    <w:rsid w:val="00F92825"/>
    <w:rsid w:val="00F92F2D"/>
    <w:rsid w:val="00FA60B8"/>
    <w:rsid w:val="00FD76D0"/>
    <w:rsid w:val="00FE01EF"/>
    <w:rsid w:val="00FE02AB"/>
    <w:rsid w:val="00FE10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6FAB9"/>
  <w15:docId w15:val="{E55176A4-CEEF-4B71-9A19-C2BE6290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4"/>
        <w:szCs w:val="24"/>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263574"/>
    <w:pPr>
      <w:keepNext/>
      <w:keepLines/>
      <w:numPr>
        <w:numId w:val="1"/>
      </w:numPr>
      <w:spacing w:before="400" w:after="120"/>
      <w:outlineLvl w:val="0"/>
    </w:pPr>
    <w:rPr>
      <w:rFonts w:eastAsia="Arial" w:cs="Arial"/>
      <w:b/>
      <w:sz w:val="28"/>
      <w:szCs w:val="40"/>
      <w:lang w:eastAsia="fr-CA"/>
    </w:rPr>
  </w:style>
  <w:style w:type="paragraph" w:styleId="Titre2">
    <w:name w:val="heading 2"/>
    <w:basedOn w:val="Normal"/>
    <w:link w:val="Titre2Car"/>
    <w:uiPriority w:val="9"/>
    <w:qFormat/>
    <w:rsid w:val="00A42EE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574"/>
    <w:rPr>
      <w:rFonts w:eastAsia="Arial" w:cs="Arial"/>
      <w:b/>
      <w:sz w:val="28"/>
      <w:szCs w:val="40"/>
      <w:lang w:eastAsia="fr-CA"/>
    </w:rPr>
  </w:style>
  <w:style w:type="paragraph" w:customStyle="1" w:styleId="Default">
    <w:name w:val="Default"/>
    <w:rsid w:val="00424BCF"/>
    <w:pPr>
      <w:autoSpaceDE w:val="0"/>
      <w:autoSpaceDN w:val="0"/>
      <w:adjustRightInd w:val="0"/>
      <w:spacing w:after="0" w:line="240" w:lineRule="auto"/>
    </w:pPr>
    <w:rPr>
      <w:rFonts w:ascii="Arial" w:hAnsi="Arial" w:cs="Arial"/>
      <w:color w:val="000000"/>
    </w:rPr>
  </w:style>
  <w:style w:type="character" w:styleId="Lienhypertexte">
    <w:name w:val="Hyperlink"/>
    <w:basedOn w:val="Policepardfaut"/>
    <w:uiPriority w:val="99"/>
    <w:unhideWhenUsed/>
    <w:rsid w:val="00424BCF"/>
    <w:rPr>
      <w:color w:val="0000FF"/>
      <w:u w:val="single"/>
    </w:rPr>
  </w:style>
  <w:style w:type="paragraph" w:styleId="Textedebulles">
    <w:name w:val="Balloon Text"/>
    <w:basedOn w:val="Normal"/>
    <w:link w:val="TextedebullesCar"/>
    <w:uiPriority w:val="99"/>
    <w:semiHidden/>
    <w:unhideWhenUsed/>
    <w:rsid w:val="00424B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4BCF"/>
    <w:rPr>
      <w:rFonts w:ascii="Tahoma" w:hAnsi="Tahoma" w:cs="Tahoma"/>
      <w:sz w:val="16"/>
      <w:szCs w:val="16"/>
    </w:rPr>
  </w:style>
  <w:style w:type="character" w:customStyle="1" w:styleId="Titre2Car">
    <w:name w:val="Titre 2 Car"/>
    <w:basedOn w:val="Policepardfaut"/>
    <w:link w:val="Titre2"/>
    <w:uiPriority w:val="9"/>
    <w:rsid w:val="00A42EE7"/>
    <w:rPr>
      <w:rFonts w:ascii="Times New Roman" w:eastAsia="Times New Roman" w:hAnsi="Times New Roman" w:cs="Times New Roman"/>
      <w:b/>
      <w:bCs/>
      <w:sz w:val="36"/>
      <w:szCs w:val="36"/>
      <w:lang w:eastAsia="fr-CA"/>
    </w:rPr>
  </w:style>
  <w:style w:type="paragraph" w:styleId="En-tte">
    <w:name w:val="header"/>
    <w:basedOn w:val="Normal"/>
    <w:link w:val="En-tteCar"/>
    <w:uiPriority w:val="99"/>
    <w:unhideWhenUsed/>
    <w:rsid w:val="00A42EE7"/>
    <w:pPr>
      <w:tabs>
        <w:tab w:val="center" w:pos="4703"/>
        <w:tab w:val="right" w:pos="9406"/>
      </w:tabs>
      <w:spacing w:after="0" w:line="240" w:lineRule="auto"/>
    </w:pPr>
  </w:style>
  <w:style w:type="character" w:customStyle="1" w:styleId="En-tteCar">
    <w:name w:val="En-tête Car"/>
    <w:basedOn w:val="Policepardfaut"/>
    <w:link w:val="En-tte"/>
    <w:uiPriority w:val="99"/>
    <w:rsid w:val="00A42EE7"/>
  </w:style>
  <w:style w:type="paragraph" w:styleId="Pieddepage">
    <w:name w:val="footer"/>
    <w:basedOn w:val="Normal"/>
    <w:link w:val="PieddepageCar"/>
    <w:uiPriority w:val="99"/>
    <w:unhideWhenUsed/>
    <w:rsid w:val="00A42EE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42EE7"/>
  </w:style>
  <w:style w:type="character" w:customStyle="1" w:styleId="Mentionnonrsolue1">
    <w:name w:val="Mention non résolue1"/>
    <w:basedOn w:val="Policepardfaut"/>
    <w:uiPriority w:val="99"/>
    <w:semiHidden/>
    <w:unhideWhenUsed/>
    <w:rsid w:val="0092597F"/>
    <w:rPr>
      <w:color w:val="605E5C"/>
      <w:shd w:val="clear" w:color="auto" w:fill="E1DFDD"/>
    </w:rPr>
  </w:style>
  <w:style w:type="character" w:styleId="Marquedecommentaire">
    <w:name w:val="annotation reference"/>
    <w:basedOn w:val="Policepardfaut"/>
    <w:uiPriority w:val="99"/>
    <w:semiHidden/>
    <w:unhideWhenUsed/>
    <w:rsid w:val="00057963"/>
    <w:rPr>
      <w:sz w:val="16"/>
      <w:szCs w:val="16"/>
    </w:rPr>
  </w:style>
  <w:style w:type="paragraph" w:styleId="Commentaire">
    <w:name w:val="annotation text"/>
    <w:basedOn w:val="Normal"/>
    <w:link w:val="CommentaireCar"/>
    <w:uiPriority w:val="99"/>
    <w:unhideWhenUsed/>
    <w:rsid w:val="00057963"/>
    <w:pPr>
      <w:spacing w:line="240" w:lineRule="auto"/>
    </w:pPr>
    <w:rPr>
      <w:sz w:val="20"/>
      <w:szCs w:val="20"/>
    </w:rPr>
  </w:style>
  <w:style w:type="character" w:customStyle="1" w:styleId="CommentaireCar">
    <w:name w:val="Commentaire Car"/>
    <w:basedOn w:val="Policepardfaut"/>
    <w:link w:val="Commentaire"/>
    <w:uiPriority w:val="99"/>
    <w:rsid w:val="00057963"/>
    <w:rPr>
      <w:sz w:val="20"/>
      <w:szCs w:val="20"/>
    </w:rPr>
  </w:style>
  <w:style w:type="paragraph" w:styleId="Objetducommentaire">
    <w:name w:val="annotation subject"/>
    <w:basedOn w:val="Commentaire"/>
    <w:next w:val="Commentaire"/>
    <w:link w:val="ObjetducommentaireCar"/>
    <w:uiPriority w:val="99"/>
    <w:semiHidden/>
    <w:unhideWhenUsed/>
    <w:rsid w:val="00057963"/>
    <w:rPr>
      <w:b/>
      <w:bCs/>
    </w:rPr>
  </w:style>
  <w:style w:type="character" w:customStyle="1" w:styleId="ObjetducommentaireCar">
    <w:name w:val="Objet du commentaire Car"/>
    <w:basedOn w:val="CommentaireCar"/>
    <w:link w:val="Objetducommentaire"/>
    <w:uiPriority w:val="99"/>
    <w:semiHidden/>
    <w:rsid w:val="00057963"/>
    <w:rPr>
      <w:b/>
      <w:bCs/>
      <w:sz w:val="20"/>
      <w:szCs w:val="20"/>
    </w:rPr>
  </w:style>
  <w:style w:type="paragraph" w:styleId="Notedebasdepage">
    <w:name w:val="footnote text"/>
    <w:basedOn w:val="Normal"/>
    <w:link w:val="NotedebasdepageCar"/>
    <w:uiPriority w:val="99"/>
    <w:semiHidden/>
    <w:unhideWhenUsed/>
    <w:rsid w:val="006E79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79BA"/>
    <w:rPr>
      <w:sz w:val="20"/>
      <w:szCs w:val="20"/>
    </w:rPr>
  </w:style>
  <w:style w:type="character" w:styleId="Appelnotedebasdep">
    <w:name w:val="footnote reference"/>
    <w:basedOn w:val="Policepardfaut"/>
    <w:uiPriority w:val="99"/>
    <w:semiHidden/>
    <w:unhideWhenUsed/>
    <w:rsid w:val="006E79BA"/>
    <w:rPr>
      <w:vertAlign w:val="superscript"/>
    </w:rPr>
  </w:style>
  <w:style w:type="character" w:styleId="Lienhypertextesuivivisit">
    <w:name w:val="FollowedHyperlink"/>
    <w:basedOn w:val="Policepardfaut"/>
    <w:uiPriority w:val="99"/>
    <w:semiHidden/>
    <w:unhideWhenUsed/>
    <w:rsid w:val="00173164"/>
    <w:rPr>
      <w:color w:val="800080" w:themeColor="followedHyperlink"/>
      <w:u w:val="single"/>
    </w:rPr>
  </w:style>
  <w:style w:type="character" w:customStyle="1" w:styleId="Mentionnonrsolue2">
    <w:name w:val="Mention non résolue2"/>
    <w:basedOn w:val="Policepardfaut"/>
    <w:uiPriority w:val="99"/>
    <w:semiHidden/>
    <w:unhideWhenUsed/>
    <w:rsid w:val="000A5419"/>
    <w:rPr>
      <w:color w:val="605E5C"/>
      <w:shd w:val="clear" w:color="auto" w:fill="E1DFDD"/>
    </w:rPr>
  </w:style>
  <w:style w:type="paragraph" w:styleId="NormalWeb">
    <w:name w:val="Normal (Web)"/>
    <w:basedOn w:val="Normal"/>
    <w:uiPriority w:val="99"/>
    <w:unhideWhenUsed/>
    <w:rsid w:val="00F92F2D"/>
    <w:pPr>
      <w:spacing w:before="100" w:beforeAutospacing="1" w:after="100" w:afterAutospacing="1" w:line="240" w:lineRule="auto"/>
    </w:pPr>
    <w:rPr>
      <w:rFonts w:ascii="Times New Roman" w:eastAsia="Times New Roman" w:hAnsi="Times New Roman" w:cs="Times New Roman"/>
      <w:lang w:eastAsia="fr-CA"/>
    </w:rPr>
  </w:style>
  <w:style w:type="character" w:styleId="lev">
    <w:name w:val="Strong"/>
    <w:basedOn w:val="Policepardfaut"/>
    <w:uiPriority w:val="22"/>
    <w:qFormat/>
    <w:rsid w:val="00BC2D79"/>
    <w:rPr>
      <w:b/>
      <w:bCs/>
    </w:rPr>
  </w:style>
  <w:style w:type="character" w:customStyle="1" w:styleId="il">
    <w:name w:val="il"/>
    <w:basedOn w:val="Policepardfaut"/>
    <w:rsid w:val="00BC2D79"/>
  </w:style>
  <w:style w:type="paragraph" w:styleId="Paragraphedeliste">
    <w:name w:val="List Paragraph"/>
    <w:basedOn w:val="Normal"/>
    <w:uiPriority w:val="34"/>
    <w:qFormat/>
    <w:rsid w:val="00334FA7"/>
    <w:pPr>
      <w:spacing w:after="160" w:line="279" w:lineRule="auto"/>
      <w:ind w:left="720"/>
      <w:contextualSpacing/>
    </w:pPr>
    <w:rPr>
      <w:rFonts w:asciiTheme="minorHAnsi" w:hAnsiTheme="minorHAnsi"/>
    </w:rPr>
  </w:style>
  <w:style w:type="character" w:customStyle="1" w:styleId="Mentionnonrsolue3">
    <w:name w:val="Mention non résolue3"/>
    <w:basedOn w:val="Policepardfaut"/>
    <w:uiPriority w:val="99"/>
    <w:semiHidden/>
    <w:unhideWhenUsed/>
    <w:rsid w:val="0050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12808">
      <w:bodyDiv w:val="1"/>
      <w:marLeft w:val="0"/>
      <w:marRight w:val="0"/>
      <w:marTop w:val="0"/>
      <w:marBottom w:val="0"/>
      <w:divBdr>
        <w:top w:val="none" w:sz="0" w:space="0" w:color="auto"/>
        <w:left w:val="none" w:sz="0" w:space="0" w:color="auto"/>
        <w:bottom w:val="none" w:sz="0" w:space="0" w:color="auto"/>
        <w:right w:val="none" w:sz="0" w:space="0" w:color="auto"/>
      </w:divBdr>
      <w:divsChild>
        <w:div w:id="982543883">
          <w:marLeft w:val="0"/>
          <w:marRight w:val="0"/>
          <w:marTop w:val="0"/>
          <w:marBottom w:val="0"/>
          <w:divBdr>
            <w:top w:val="none" w:sz="0" w:space="0" w:color="auto"/>
            <w:left w:val="none" w:sz="0" w:space="0" w:color="auto"/>
            <w:bottom w:val="none" w:sz="0" w:space="0" w:color="auto"/>
            <w:right w:val="none" w:sz="0" w:space="0" w:color="auto"/>
          </w:divBdr>
          <w:divsChild>
            <w:div w:id="101533115">
              <w:marLeft w:val="0"/>
              <w:marRight w:val="0"/>
              <w:marTop w:val="0"/>
              <w:marBottom w:val="0"/>
              <w:divBdr>
                <w:top w:val="none" w:sz="0" w:space="0" w:color="auto"/>
                <w:left w:val="none" w:sz="0" w:space="0" w:color="auto"/>
                <w:bottom w:val="none" w:sz="0" w:space="0" w:color="auto"/>
                <w:right w:val="none" w:sz="0" w:space="0" w:color="auto"/>
              </w:divBdr>
              <w:divsChild>
                <w:div w:id="77405890">
                  <w:marLeft w:val="0"/>
                  <w:marRight w:val="0"/>
                  <w:marTop w:val="0"/>
                  <w:marBottom w:val="0"/>
                  <w:divBdr>
                    <w:top w:val="none" w:sz="0" w:space="0" w:color="auto"/>
                    <w:left w:val="none" w:sz="0" w:space="0" w:color="auto"/>
                    <w:bottom w:val="none" w:sz="0" w:space="0" w:color="auto"/>
                    <w:right w:val="none" w:sz="0" w:space="0" w:color="auto"/>
                  </w:divBdr>
                  <w:divsChild>
                    <w:div w:id="1831824802">
                      <w:marLeft w:val="0"/>
                      <w:marRight w:val="0"/>
                      <w:marTop w:val="0"/>
                      <w:marBottom w:val="0"/>
                      <w:divBdr>
                        <w:top w:val="none" w:sz="0" w:space="0" w:color="auto"/>
                        <w:left w:val="none" w:sz="0" w:space="0" w:color="auto"/>
                        <w:bottom w:val="none" w:sz="0" w:space="0" w:color="auto"/>
                        <w:right w:val="none" w:sz="0" w:space="0" w:color="auto"/>
                      </w:divBdr>
                      <w:divsChild>
                        <w:div w:id="1461336187">
                          <w:marLeft w:val="0"/>
                          <w:marRight w:val="0"/>
                          <w:marTop w:val="0"/>
                          <w:marBottom w:val="0"/>
                          <w:divBdr>
                            <w:top w:val="none" w:sz="0" w:space="0" w:color="auto"/>
                            <w:left w:val="none" w:sz="0" w:space="0" w:color="auto"/>
                            <w:bottom w:val="none" w:sz="0" w:space="0" w:color="auto"/>
                            <w:right w:val="none" w:sz="0" w:space="0" w:color="auto"/>
                          </w:divBdr>
                          <w:divsChild>
                            <w:div w:id="18762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59681">
      <w:bodyDiv w:val="1"/>
      <w:marLeft w:val="0"/>
      <w:marRight w:val="0"/>
      <w:marTop w:val="0"/>
      <w:marBottom w:val="0"/>
      <w:divBdr>
        <w:top w:val="none" w:sz="0" w:space="0" w:color="auto"/>
        <w:left w:val="none" w:sz="0" w:space="0" w:color="auto"/>
        <w:bottom w:val="none" w:sz="0" w:space="0" w:color="auto"/>
        <w:right w:val="none" w:sz="0" w:space="0" w:color="auto"/>
      </w:divBdr>
      <w:divsChild>
        <w:div w:id="451439704">
          <w:marLeft w:val="0"/>
          <w:marRight w:val="0"/>
          <w:marTop w:val="0"/>
          <w:marBottom w:val="0"/>
          <w:divBdr>
            <w:top w:val="none" w:sz="0" w:space="0" w:color="auto"/>
            <w:left w:val="none" w:sz="0" w:space="0" w:color="auto"/>
            <w:bottom w:val="none" w:sz="0" w:space="0" w:color="auto"/>
            <w:right w:val="none" w:sz="0" w:space="0" w:color="auto"/>
          </w:divBdr>
          <w:divsChild>
            <w:div w:id="1893687227">
              <w:marLeft w:val="0"/>
              <w:marRight w:val="0"/>
              <w:marTop w:val="0"/>
              <w:marBottom w:val="0"/>
              <w:divBdr>
                <w:top w:val="none" w:sz="0" w:space="0" w:color="auto"/>
                <w:left w:val="none" w:sz="0" w:space="0" w:color="auto"/>
                <w:bottom w:val="none" w:sz="0" w:space="0" w:color="auto"/>
                <w:right w:val="none" w:sz="0" w:space="0" w:color="auto"/>
              </w:divBdr>
            </w:div>
          </w:divsChild>
        </w:div>
        <w:div w:id="329452028">
          <w:marLeft w:val="0"/>
          <w:marRight w:val="0"/>
          <w:marTop w:val="0"/>
          <w:marBottom w:val="0"/>
          <w:divBdr>
            <w:top w:val="none" w:sz="0" w:space="0" w:color="auto"/>
            <w:left w:val="none" w:sz="0" w:space="0" w:color="auto"/>
            <w:bottom w:val="none" w:sz="0" w:space="0" w:color="auto"/>
            <w:right w:val="none" w:sz="0" w:space="0" w:color="auto"/>
          </w:divBdr>
        </w:div>
        <w:div w:id="1482891567">
          <w:marLeft w:val="0"/>
          <w:marRight w:val="0"/>
          <w:marTop w:val="0"/>
          <w:marBottom w:val="0"/>
          <w:divBdr>
            <w:top w:val="none" w:sz="0" w:space="0" w:color="auto"/>
            <w:left w:val="none" w:sz="0" w:space="0" w:color="auto"/>
            <w:bottom w:val="none" w:sz="0" w:space="0" w:color="auto"/>
            <w:right w:val="none" w:sz="0" w:space="0" w:color="auto"/>
          </w:divBdr>
          <w:divsChild>
            <w:div w:id="1497306534">
              <w:marLeft w:val="0"/>
              <w:marRight w:val="0"/>
              <w:marTop w:val="0"/>
              <w:marBottom w:val="0"/>
              <w:divBdr>
                <w:top w:val="none" w:sz="0" w:space="0" w:color="auto"/>
                <w:left w:val="none" w:sz="0" w:space="0" w:color="auto"/>
                <w:bottom w:val="none" w:sz="0" w:space="0" w:color="auto"/>
                <w:right w:val="none" w:sz="0" w:space="0" w:color="auto"/>
              </w:divBdr>
            </w:div>
            <w:div w:id="2124223246">
              <w:marLeft w:val="0"/>
              <w:marRight w:val="0"/>
              <w:marTop w:val="0"/>
              <w:marBottom w:val="0"/>
              <w:divBdr>
                <w:top w:val="none" w:sz="0" w:space="0" w:color="auto"/>
                <w:left w:val="none" w:sz="0" w:space="0" w:color="auto"/>
                <w:bottom w:val="none" w:sz="0" w:space="0" w:color="auto"/>
                <w:right w:val="none" w:sz="0" w:space="0" w:color="auto"/>
              </w:divBdr>
            </w:div>
            <w:div w:id="315647307">
              <w:marLeft w:val="0"/>
              <w:marRight w:val="0"/>
              <w:marTop w:val="0"/>
              <w:marBottom w:val="0"/>
              <w:divBdr>
                <w:top w:val="none" w:sz="0" w:space="0" w:color="auto"/>
                <w:left w:val="none" w:sz="0" w:space="0" w:color="auto"/>
                <w:bottom w:val="none" w:sz="0" w:space="0" w:color="auto"/>
                <w:right w:val="none" w:sz="0" w:space="0" w:color="auto"/>
              </w:divBdr>
            </w:div>
            <w:div w:id="656955088">
              <w:marLeft w:val="0"/>
              <w:marRight w:val="0"/>
              <w:marTop w:val="0"/>
              <w:marBottom w:val="0"/>
              <w:divBdr>
                <w:top w:val="none" w:sz="0" w:space="0" w:color="auto"/>
                <w:left w:val="none" w:sz="0" w:space="0" w:color="auto"/>
                <w:bottom w:val="none" w:sz="0" w:space="0" w:color="auto"/>
                <w:right w:val="none" w:sz="0" w:space="0" w:color="auto"/>
              </w:divBdr>
            </w:div>
            <w:div w:id="99571723">
              <w:marLeft w:val="0"/>
              <w:marRight w:val="0"/>
              <w:marTop w:val="0"/>
              <w:marBottom w:val="0"/>
              <w:divBdr>
                <w:top w:val="none" w:sz="0" w:space="0" w:color="auto"/>
                <w:left w:val="none" w:sz="0" w:space="0" w:color="auto"/>
                <w:bottom w:val="none" w:sz="0" w:space="0" w:color="auto"/>
                <w:right w:val="none" w:sz="0" w:space="0" w:color="auto"/>
              </w:divBdr>
            </w:div>
            <w:div w:id="1281457289">
              <w:marLeft w:val="0"/>
              <w:marRight w:val="0"/>
              <w:marTop w:val="0"/>
              <w:marBottom w:val="0"/>
              <w:divBdr>
                <w:top w:val="none" w:sz="0" w:space="0" w:color="auto"/>
                <w:left w:val="none" w:sz="0" w:space="0" w:color="auto"/>
                <w:bottom w:val="none" w:sz="0" w:space="0" w:color="auto"/>
                <w:right w:val="none" w:sz="0" w:space="0" w:color="auto"/>
              </w:divBdr>
            </w:div>
            <w:div w:id="915168936">
              <w:marLeft w:val="0"/>
              <w:marRight w:val="0"/>
              <w:marTop w:val="0"/>
              <w:marBottom w:val="0"/>
              <w:divBdr>
                <w:top w:val="none" w:sz="0" w:space="0" w:color="auto"/>
                <w:left w:val="none" w:sz="0" w:space="0" w:color="auto"/>
                <w:bottom w:val="none" w:sz="0" w:space="0" w:color="auto"/>
                <w:right w:val="none" w:sz="0" w:space="0" w:color="auto"/>
              </w:divBdr>
            </w:div>
            <w:div w:id="131365361">
              <w:marLeft w:val="0"/>
              <w:marRight w:val="0"/>
              <w:marTop w:val="0"/>
              <w:marBottom w:val="0"/>
              <w:divBdr>
                <w:top w:val="none" w:sz="0" w:space="0" w:color="auto"/>
                <w:left w:val="none" w:sz="0" w:space="0" w:color="auto"/>
                <w:bottom w:val="none" w:sz="0" w:space="0" w:color="auto"/>
                <w:right w:val="none" w:sz="0" w:space="0" w:color="auto"/>
              </w:divBdr>
            </w:div>
            <w:div w:id="786587074">
              <w:marLeft w:val="0"/>
              <w:marRight w:val="0"/>
              <w:marTop w:val="0"/>
              <w:marBottom w:val="0"/>
              <w:divBdr>
                <w:top w:val="none" w:sz="0" w:space="0" w:color="auto"/>
                <w:left w:val="none" w:sz="0" w:space="0" w:color="auto"/>
                <w:bottom w:val="none" w:sz="0" w:space="0" w:color="auto"/>
                <w:right w:val="none" w:sz="0" w:space="0" w:color="auto"/>
              </w:divBdr>
            </w:div>
            <w:div w:id="11342757">
              <w:marLeft w:val="0"/>
              <w:marRight w:val="0"/>
              <w:marTop w:val="0"/>
              <w:marBottom w:val="0"/>
              <w:divBdr>
                <w:top w:val="none" w:sz="0" w:space="0" w:color="auto"/>
                <w:left w:val="none" w:sz="0" w:space="0" w:color="auto"/>
                <w:bottom w:val="none" w:sz="0" w:space="0" w:color="auto"/>
                <w:right w:val="none" w:sz="0" w:space="0" w:color="auto"/>
              </w:divBdr>
            </w:div>
            <w:div w:id="732047475">
              <w:marLeft w:val="0"/>
              <w:marRight w:val="0"/>
              <w:marTop w:val="0"/>
              <w:marBottom w:val="0"/>
              <w:divBdr>
                <w:top w:val="none" w:sz="0" w:space="0" w:color="auto"/>
                <w:left w:val="none" w:sz="0" w:space="0" w:color="auto"/>
                <w:bottom w:val="none" w:sz="0" w:space="0" w:color="auto"/>
                <w:right w:val="none" w:sz="0" w:space="0" w:color="auto"/>
              </w:divBdr>
            </w:div>
            <w:div w:id="1411999634">
              <w:marLeft w:val="0"/>
              <w:marRight w:val="0"/>
              <w:marTop w:val="0"/>
              <w:marBottom w:val="0"/>
              <w:divBdr>
                <w:top w:val="none" w:sz="0" w:space="0" w:color="auto"/>
                <w:left w:val="none" w:sz="0" w:space="0" w:color="auto"/>
                <w:bottom w:val="none" w:sz="0" w:space="0" w:color="auto"/>
                <w:right w:val="none" w:sz="0" w:space="0" w:color="auto"/>
              </w:divBdr>
            </w:div>
            <w:div w:id="1659259593">
              <w:marLeft w:val="0"/>
              <w:marRight w:val="0"/>
              <w:marTop w:val="0"/>
              <w:marBottom w:val="0"/>
              <w:divBdr>
                <w:top w:val="none" w:sz="0" w:space="0" w:color="auto"/>
                <w:left w:val="none" w:sz="0" w:space="0" w:color="auto"/>
                <w:bottom w:val="none" w:sz="0" w:space="0" w:color="auto"/>
                <w:right w:val="none" w:sz="0" w:space="0" w:color="auto"/>
              </w:divBdr>
            </w:div>
            <w:div w:id="550112838">
              <w:marLeft w:val="0"/>
              <w:marRight w:val="0"/>
              <w:marTop w:val="0"/>
              <w:marBottom w:val="0"/>
              <w:divBdr>
                <w:top w:val="none" w:sz="0" w:space="0" w:color="auto"/>
                <w:left w:val="none" w:sz="0" w:space="0" w:color="auto"/>
                <w:bottom w:val="none" w:sz="0" w:space="0" w:color="auto"/>
                <w:right w:val="none" w:sz="0" w:space="0" w:color="auto"/>
              </w:divBdr>
            </w:div>
            <w:div w:id="530652765">
              <w:marLeft w:val="0"/>
              <w:marRight w:val="0"/>
              <w:marTop w:val="0"/>
              <w:marBottom w:val="0"/>
              <w:divBdr>
                <w:top w:val="none" w:sz="0" w:space="0" w:color="auto"/>
                <w:left w:val="none" w:sz="0" w:space="0" w:color="auto"/>
                <w:bottom w:val="none" w:sz="0" w:space="0" w:color="auto"/>
                <w:right w:val="none" w:sz="0" w:space="0" w:color="auto"/>
              </w:divBdr>
            </w:div>
            <w:div w:id="1758021319">
              <w:marLeft w:val="0"/>
              <w:marRight w:val="0"/>
              <w:marTop w:val="0"/>
              <w:marBottom w:val="0"/>
              <w:divBdr>
                <w:top w:val="none" w:sz="0" w:space="0" w:color="auto"/>
                <w:left w:val="none" w:sz="0" w:space="0" w:color="auto"/>
                <w:bottom w:val="none" w:sz="0" w:space="0" w:color="auto"/>
                <w:right w:val="none" w:sz="0" w:space="0" w:color="auto"/>
              </w:divBdr>
            </w:div>
          </w:divsChild>
        </w:div>
        <w:div w:id="1410156658">
          <w:marLeft w:val="0"/>
          <w:marRight w:val="0"/>
          <w:marTop w:val="0"/>
          <w:marBottom w:val="0"/>
          <w:divBdr>
            <w:top w:val="none" w:sz="0" w:space="0" w:color="auto"/>
            <w:left w:val="none" w:sz="0" w:space="0" w:color="auto"/>
            <w:bottom w:val="none" w:sz="0" w:space="0" w:color="auto"/>
            <w:right w:val="none" w:sz="0" w:space="0" w:color="auto"/>
          </w:divBdr>
          <w:divsChild>
            <w:div w:id="914555984">
              <w:marLeft w:val="0"/>
              <w:marRight w:val="0"/>
              <w:marTop w:val="0"/>
              <w:marBottom w:val="0"/>
              <w:divBdr>
                <w:top w:val="none" w:sz="0" w:space="0" w:color="auto"/>
                <w:left w:val="none" w:sz="0" w:space="0" w:color="auto"/>
                <w:bottom w:val="none" w:sz="0" w:space="0" w:color="auto"/>
                <w:right w:val="none" w:sz="0" w:space="0" w:color="auto"/>
              </w:divBdr>
            </w:div>
            <w:div w:id="93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0790">
      <w:bodyDiv w:val="1"/>
      <w:marLeft w:val="0"/>
      <w:marRight w:val="0"/>
      <w:marTop w:val="0"/>
      <w:marBottom w:val="0"/>
      <w:divBdr>
        <w:top w:val="none" w:sz="0" w:space="0" w:color="auto"/>
        <w:left w:val="none" w:sz="0" w:space="0" w:color="auto"/>
        <w:bottom w:val="none" w:sz="0" w:space="0" w:color="auto"/>
        <w:right w:val="none" w:sz="0" w:space="0" w:color="auto"/>
      </w:divBdr>
    </w:div>
    <w:div w:id="1586383651">
      <w:bodyDiv w:val="1"/>
      <w:marLeft w:val="0"/>
      <w:marRight w:val="0"/>
      <w:marTop w:val="0"/>
      <w:marBottom w:val="0"/>
      <w:divBdr>
        <w:top w:val="none" w:sz="0" w:space="0" w:color="auto"/>
        <w:left w:val="none" w:sz="0" w:space="0" w:color="auto"/>
        <w:bottom w:val="none" w:sz="0" w:space="0" w:color="auto"/>
        <w:right w:val="none" w:sz="0" w:space="0" w:color="auto"/>
      </w:divBdr>
      <w:divsChild>
        <w:div w:id="1629698965">
          <w:marLeft w:val="0"/>
          <w:marRight w:val="0"/>
          <w:marTop w:val="0"/>
          <w:marBottom w:val="0"/>
          <w:divBdr>
            <w:top w:val="none" w:sz="0" w:space="0" w:color="auto"/>
            <w:left w:val="none" w:sz="0" w:space="0" w:color="auto"/>
            <w:bottom w:val="none" w:sz="0" w:space="0" w:color="auto"/>
            <w:right w:val="none" w:sz="0" w:space="0" w:color="auto"/>
          </w:divBdr>
        </w:div>
        <w:div w:id="1830631948">
          <w:marLeft w:val="0"/>
          <w:marRight w:val="0"/>
          <w:marTop w:val="0"/>
          <w:marBottom w:val="0"/>
          <w:divBdr>
            <w:top w:val="none" w:sz="0" w:space="0" w:color="auto"/>
            <w:left w:val="none" w:sz="0" w:space="0" w:color="auto"/>
            <w:bottom w:val="none" w:sz="0" w:space="0" w:color="auto"/>
            <w:right w:val="none" w:sz="0" w:space="0" w:color="auto"/>
          </w:divBdr>
        </w:div>
        <w:div w:id="1690982205">
          <w:marLeft w:val="0"/>
          <w:marRight w:val="0"/>
          <w:marTop w:val="0"/>
          <w:marBottom w:val="0"/>
          <w:divBdr>
            <w:top w:val="none" w:sz="0" w:space="0" w:color="auto"/>
            <w:left w:val="none" w:sz="0" w:space="0" w:color="auto"/>
            <w:bottom w:val="none" w:sz="0" w:space="0" w:color="auto"/>
            <w:right w:val="none" w:sz="0" w:space="0" w:color="auto"/>
          </w:divBdr>
        </w:div>
        <w:div w:id="1884250136">
          <w:marLeft w:val="0"/>
          <w:marRight w:val="0"/>
          <w:marTop w:val="0"/>
          <w:marBottom w:val="0"/>
          <w:divBdr>
            <w:top w:val="none" w:sz="0" w:space="0" w:color="auto"/>
            <w:left w:val="none" w:sz="0" w:space="0" w:color="auto"/>
            <w:bottom w:val="none" w:sz="0" w:space="0" w:color="auto"/>
            <w:right w:val="none" w:sz="0" w:space="0" w:color="auto"/>
          </w:divBdr>
        </w:div>
        <w:div w:id="719329076">
          <w:marLeft w:val="0"/>
          <w:marRight w:val="0"/>
          <w:marTop w:val="0"/>
          <w:marBottom w:val="0"/>
          <w:divBdr>
            <w:top w:val="none" w:sz="0" w:space="0" w:color="auto"/>
            <w:left w:val="none" w:sz="0" w:space="0" w:color="auto"/>
            <w:bottom w:val="none" w:sz="0" w:space="0" w:color="auto"/>
            <w:right w:val="none" w:sz="0" w:space="0" w:color="auto"/>
          </w:divBdr>
        </w:div>
        <w:div w:id="1099759967">
          <w:marLeft w:val="0"/>
          <w:marRight w:val="0"/>
          <w:marTop w:val="0"/>
          <w:marBottom w:val="0"/>
          <w:divBdr>
            <w:top w:val="none" w:sz="0" w:space="0" w:color="auto"/>
            <w:left w:val="none" w:sz="0" w:space="0" w:color="auto"/>
            <w:bottom w:val="none" w:sz="0" w:space="0" w:color="auto"/>
            <w:right w:val="none" w:sz="0" w:space="0" w:color="auto"/>
          </w:divBdr>
        </w:div>
        <w:div w:id="755438387">
          <w:marLeft w:val="0"/>
          <w:marRight w:val="0"/>
          <w:marTop w:val="0"/>
          <w:marBottom w:val="0"/>
          <w:divBdr>
            <w:top w:val="none" w:sz="0" w:space="0" w:color="auto"/>
            <w:left w:val="none" w:sz="0" w:space="0" w:color="auto"/>
            <w:bottom w:val="none" w:sz="0" w:space="0" w:color="auto"/>
            <w:right w:val="none" w:sz="0" w:space="0" w:color="auto"/>
          </w:divBdr>
        </w:div>
        <w:div w:id="145784395">
          <w:marLeft w:val="0"/>
          <w:marRight w:val="0"/>
          <w:marTop w:val="0"/>
          <w:marBottom w:val="0"/>
          <w:divBdr>
            <w:top w:val="none" w:sz="0" w:space="0" w:color="auto"/>
            <w:left w:val="none" w:sz="0" w:space="0" w:color="auto"/>
            <w:bottom w:val="none" w:sz="0" w:space="0" w:color="auto"/>
            <w:right w:val="none" w:sz="0" w:space="0" w:color="auto"/>
          </w:divBdr>
        </w:div>
        <w:div w:id="999310780">
          <w:marLeft w:val="0"/>
          <w:marRight w:val="0"/>
          <w:marTop w:val="0"/>
          <w:marBottom w:val="0"/>
          <w:divBdr>
            <w:top w:val="none" w:sz="0" w:space="0" w:color="auto"/>
            <w:left w:val="none" w:sz="0" w:space="0" w:color="auto"/>
            <w:bottom w:val="none" w:sz="0" w:space="0" w:color="auto"/>
            <w:right w:val="none" w:sz="0" w:space="0" w:color="auto"/>
          </w:divBdr>
        </w:div>
        <w:div w:id="1480196101">
          <w:marLeft w:val="0"/>
          <w:marRight w:val="0"/>
          <w:marTop w:val="0"/>
          <w:marBottom w:val="0"/>
          <w:divBdr>
            <w:top w:val="none" w:sz="0" w:space="0" w:color="auto"/>
            <w:left w:val="none" w:sz="0" w:space="0" w:color="auto"/>
            <w:bottom w:val="none" w:sz="0" w:space="0" w:color="auto"/>
            <w:right w:val="none" w:sz="0" w:space="0" w:color="auto"/>
          </w:divBdr>
        </w:div>
        <w:div w:id="1073241667">
          <w:marLeft w:val="0"/>
          <w:marRight w:val="0"/>
          <w:marTop w:val="0"/>
          <w:marBottom w:val="0"/>
          <w:divBdr>
            <w:top w:val="none" w:sz="0" w:space="0" w:color="auto"/>
            <w:left w:val="none" w:sz="0" w:space="0" w:color="auto"/>
            <w:bottom w:val="none" w:sz="0" w:space="0" w:color="auto"/>
            <w:right w:val="none" w:sz="0" w:space="0" w:color="auto"/>
          </w:divBdr>
        </w:div>
        <w:div w:id="1269199513">
          <w:marLeft w:val="0"/>
          <w:marRight w:val="0"/>
          <w:marTop w:val="0"/>
          <w:marBottom w:val="0"/>
          <w:divBdr>
            <w:top w:val="none" w:sz="0" w:space="0" w:color="auto"/>
            <w:left w:val="none" w:sz="0" w:space="0" w:color="auto"/>
            <w:bottom w:val="none" w:sz="0" w:space="0" w:color="auto"/>
            <w:right w:val="none" w:sz="0" w:space="0" w:color="auto"/>
          </w:divBdr>
        </w:div>
        <w:div w:id="43918469">
          <w:marLeft w:val="0"/>
          <w:marRight w:val="0"/>
          <w:marTop w:val="0"/>
          <w:marBottom w:val="0"/>
          <w:divBdr>
            <w:top w:val="none" w:sz="0" w:space="0" w:color="auto"/>
            <w:left w:val="none" w:sz="0" w:space="0" w:color="auto"/>
            <w:bottom w:val="none" w:sz="0" w:space="0" w:color="auto"/>
            <w:right w:val="none" w:sz="0" w:space="0" w:color="auto"/>
          </w:divBdr>
        </w:div>
        <w:div w:id="47069867">
          <w:marLeft w:val="0"/>
          <w:marRight w:val="0"/>
          <w:marTop w:val="0"/>
          <w:marBottom w:val="0"/>
          <w:divBdr>
            <w:top w:val="none" w:sz="0" w:space="0" w:color="auto"/>
            <w:left w:val="none" w:sz="0" w:space="0" w:color="auto"/>
            <w:bottom w:val="none" w:sz="0" w:space="0" w:color="auto"/>
            <w:right w:val="none" w:sz="0" w:space="0" w:color="auto"/>
          </w:divBdr>
        </w:div>
        <w:div w:id="1843274927">
          <w:marLeft w:val="0"/>
          <w:marRight w:val="0"/>
          <w:marTop w:val="0"/>
          <w:marBottom w:val="0"/>
          <w:divBdr>
            <w:top w:val="none" w:sz="0" w:space="0" w:color="auto"/>
            <w:left w:val="none" w:sz="0" w:space="0" w:color="auto"/>
            <w:bottom w:val="none" w:sz="0" w:space="0" w:color="auto"/>
            <w:right w:val="none" w:sz="0" w:space="0" w:color="auto"/>
          </w:divBdr>
          <w:divsChild>
            <w:div w:id="2037535893">
              <w:marLeft w:val="0"/>
              <w:marRight w:val="0"/>
              <w:marTop w:val="0"/>
              <w:marBottom w:val="0"/>
              <w:divBdr>
                <w:top w:val="none" w:sz="0" w:space="0" w:color="auto"/>
                <w:left w:val="none" w:sz="0" w:space="0" w:color="auto"/>
                <w:bottom w:val="none" w:sz="0" w:space="0" w:color="auto"/>
                <w:right w:val="none" w:sz="0" w:space="0" w:color="auto"/>
              </w:divBdr>
              <w:divsChild>
                <w:div w:id="1646810505">
                  <w:marLeft w:val="0"/>
                  <w:marRight w:val="0"/>
                  <w:marTop w:val="0"/>
                  <w:marBottom w:val="0"/>
                  <w:divBdr>
                    <w:top w:val="none" w:sz="0" w:space="0" w:color="auto"/>
                    <w:left w:val="none" w:sz="0" w:space="0" w:color="auto"/>
                    <w:bottom w:val="none" w:sz="0" w:space="0" w:color="auto"/>
                    <w:right w:val="none" w:sz="0" w:space="0" w:color="auto"/>
                  </w:divBdr>
                  <w:divsChild>
                    <w:div w:id="1481776244">
                      <w:marLeft w:val="0"/>
                      <w:marRight w:val="0"/>
                      <w:marTop w:val="0"/>
                      <w:marBottom w:val="0"/>
                      <w:divBdr>
                        <w:top w:val="none" w:sz="0" w:space="0" w:color="auto"/>
                        <w:left w:val="none" w:sz="0" w:space="0" w:color="auto"/>
                        <w:bottom w:val="none" w:sz="0" w:space="0" w:color="auto"/>
                        <w:right w:val="none" w:sz="0" w:space="0" w:color="auto"/>
                      </w:divBdr>
                    </w:div>
                    <w:div w:id="894240099">
                      <w:marLeft w:val="0"/>
                      <w:marRight w:val="0"/>
                      <w:marTop w:val="0"/>
                      <w:marBottom w:val="0"/>
                      <w:divBdr>
                        <w:top w:val="none" w:sz="0" w:space="0" w:color="auto"/>
                        <w:left w:val="none" w:sz="0" w:space="0" w:color="auto"/>
                        <w:bottom w:val="none" w:sz="0" w:space="0" w:color="auto"/>
                        <w:right w:val="none" w:sz="0" w:space="0" w:color="auto"/>
                      </w:divBdr>
                      <w:divsChild>
                        <w:div w:id="594627621">
                          <w:marLeft w:val="0"/>
                          <w:marRight w:val="0"/>
                          <w:marTop w:val="0"/>
                          <w:marBottom w:val="0"/>
                          <w:divBdr>
                            <w:top w:val="none" w:sz="0" w:space="0" w:color="auto"/>
                            <w:left w:val="none" w:sz="0" w:space="0" w:color="auto"/>
                            <w:bottom w:val="none" w:sz="0" w:space="0" w:color="auto"/>
                            <w:right w:val="none" w:sz="0" w:space="0" w:color="auto"/>
                          </w:divBdr>
                        </w:div>
                      </w:divsChild>
                    </w:div>
                    <w:div w:id="1105345169">
                      <w:marLeft w:val="0"/>
                      <w:marRight w:val="0"/>
                      <w:marTop w:val="0"/>
                      <w:marBottom w:val="0"/>
                      <w:divBdr>
                        <w:top w:val="none" w:sz="0" w:space="0" w:color="auto"/>
                        <w:left w:val="none" w:sz="0" w:space="0" w:color="auto"/>
                        <w:bottom w:val="none" w:sz="0" w:space="0" w:color="auto"/>
                        <w:right w:val="none" w:sz="0" w:space="0" w:color="auto"/>
                      </w:divBdr>
                      <w:divsChild>
                        <w:div w:id="790590202">
                          <w:marLeft w:val="0"/>
                          <w:marRight w:val="0"/>
                          <w:marTop w:val="0"/>
                          <w:marBottom w:val="0"/>
                          <w:divBdr>
                            <w:top w:val="none" w:sz="0" w:space="0" w:color="auto"/>
                            <w:left w:val="none" w:sz="0" w:space="0" w:color="auto"/>
                            <w:bottom w:val="none" w:sz="0" w:space="0" w:color="auto"/>
                            <w:right w:val="none" w:sz="0" w:space="0" w:color="auto"/>
                          </w:divBdr>
                          <w:divsChild>
                            <w:div w:id="794105975">
                              <w:marLeft w:val="0"/>
                              <w:marRight w:val="0"/>
                              <w:marTop w:val="0"/>
                              <w:marBottom w:val="0"/>
                              <w:divBdr>
                                <w:top w:val="none" w:sz="0" w:space="0" w:color="auto"/>
                                <w:left w:val="none" w:sz="0" w:space="0" w:color="auto"/>
                                <w:bottom w:val="none" w:sz="0" w:space="0" w:color="auto"/>
                                <w:right w:val="none" w:sz="0" w:space="0" w:color="auto"/>
                              </w:divBdr>
                            </w:div>
                            <w:div w:id="263540733">
                              <w:marLeft w:val="0"/>
                              <w:marRight w:val="0"/>
                              <w:marTop w:val="0"/>
                              <w:marBottom w:val="0"/>
                              <w:divBdr>
                                <w:top w:val="none" w:sz="0" w:space="0" w:color="auto"/>
                                <w:left w:val="none" w:sz="0" w:space="0" w:color="auto"/>
                                <w:bottom w:val="none" w:sz="0" w:space="0" w:color="auto"/>
                                <w:right w:val="none" w:sz="0" w:space="0" w:color="auto"/>
                              </w:divBdr>
                              <w:divsChild>
                                <w:div w:id="2735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5354">
                          <w:marLeft w:val="0"/>
                          <w:marRight w:val="0"/>
                          <w:marTop w:val="0"/>
                          <w:marBottom w:val="0"/>
                          <w:divBdr>
                            <w:top w:val="none" w:sz="0" w:space="0" w:color="auto"/>
                            <w:left w:val="none" w:sz="0" w:space="0" w:color="auto"/>
                            <w:bottom w:val="none" w:sz="0" w:space="0" w:color="auto"/>
                            <w:right w:val="none" w:sz="0" w:space="0" w:color="auto"/>
                          </w:divBdr>
                        </w:div>
                        <w:div w:id="1412702696">
                          <w:marLeft w:val="0"/>
                          <w:marRight w:val="0"/>
                          <w:marTop w:val="0"/>
                          <w:marBottom w:val="0"/>
                          <w:divBdr>
                            <w:top w:val="none" w:sz="0" w:space="0" w:color="auto"/>
                            <w:left w:val="none" w:sz="0" w:space="0" w:color="auto"/>
                            <w:bottom w:val="none" w:sz="0" w:space="0" w:color="auto"/>
                            <w:right w:val="none" w:sz="0" w:space="0" w:color="auto"/>
                          </w:divBdr>
                        </w:div>
                        <w:div w:id="16317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3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tions.msss.gouv.qc.ca/msss/document-003582/" TargetMode="External"/><Relationship Id="rId18" Type="http://schemas.openxmlformats.org/officeDocument/2006/relationships/hyperlink" Target="mailto:coordination@trpocb.org" TargetMode="External"/><Relationship Id="rId26" Type="http://schemas.openxmlformats.org/officeDocument/2006/relationships/hyperlink" Target="http://trpocb.org/campagnecasssh/" TargetMode="External"/><Relationship Id="rId3" Type="http://schemas.openxmlformats.org/officeDocument/2006/relationships/styles" Target="styles.xml"/><Relationship Id="rId21" Type="http://schemas.openxmlformats.org/officeDocument/2006/relationships/hyperlink" Target="https://trpocb.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rpocb.org/communique-etudes-des-credits-2025/" TargetMode="External"/><Relationship Id="rId17" Type="http://schemas.openxmlformats.org/officeDocument/2006/relationships/hyperlink" Target="mailto:La%20Table%20des%20regroupements%20provinciaux%20d'organismes%20communautaires%20et%20b&#233;n&#233;voles%20(TRPOCB)," TargetMode="External"/><Relationship Id="rId25" Type="http://schemas.openxmlformats.org/officeDocument/2006/relationships/hyperlink" Target="http://trpocb.org/campagnecasssh/"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rpocb.org/budget-2025-une-claque-au-visage-des-groupes-communautaires-en-sante-et-services-sociaux/" TargetMode="External"/><Relationship Id="rId20" Type="http://schemas.openxmlformats.org/officeDocument/2006/relationships/hyperlink" Target="https://rcentres.qc.ca/" TargetMode="External"/><Relationship Id="rId29" Type="http://schemas.openxmlformats.org/officeDocument/2006/relationships/hyperlink" Target="https://trpocb.org/ic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pocb.org/saga-des-10millions/" TargetMode="External"/><Relationship Id="rId24" Type="http://schemas.openxmlformats.org/officeDocument/2006/relationships/hyperlink" Target="http://trpocb.org/membres/list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rl8791.trpocb.org/ls/click?upn=u001.MqrPXQ5wCPS5PwzNA2nCXW6bEMV9N6x-2BcFwDopO3YOsvF-2FvSsNXjXroFnLyiboOn0aXRzjwFn7eNkMa4Q2noDg-3D-3DQYO8_MipQiB9hKfbVX7vWqIKin6NJ9QSW2XjmOO840LphmeUMlFxVsz7BfPtJXNhC81BpmJlL87wxX7ZfUPCkJiKKScD0Dpww4fQ1W3WjvN70Xrv57l6j34t9rjMp-2B3eJw20EAD7EleDa6juLcasjRmExqrU4w8uQJS1LUu8m-2FmDwQQRqwX42gZ5Kl402eJoc9M7xy9tOgLiH4sc71fnmfDthiaRdkr1ISkX8AU4q4lVK8T-2F-2FxrawrA1WEw16nTE3h2JEaA5gzJp3N2wqziVj4sPAJCCumW-2Ftm3yJEeKI8YarlAD0Cmb3uyxgBr29LEPStSxbVSBIa6e7J2EDFmZuT1dNB8vbd-2Fb4Ptlox3ZEqvV-2BZgA0Azbi7JynoQzdsgpN1rhFHIBGQCwPGKm3wDcWehJ1w3djIp7GkLPrRn4862OdQsVAbcvkpqtRTh9wijo2fIr-2B-2BQzfthTYkpnxoEd4ENXgTOkI8AlIL24QwjymV0PggTsRorNwm6cACXoq3C3c9Y0OYs7tA0-2FAaaBA1fVaE877l29VQZFKqnO2exEvicDTOimz6FCe0palbLCogHupQ9uyKTuDDRIoKVOCe9PW1HRE0BKBbq9FXq6rKNaDS9wN1qIwcze2mCOVoTdsqIpI4Coam-2Bmv-2F6oJ3B1L6bCGVgGFXjVzkgxhz1wtjAY-2BM84Vg2DyOLimzh0fHqc-2Bq8dIO210yluUJYjB-2FFI9e1-2F2PgywKwbLFk9x8DWHv-2BNuASzLivm2IKLpMKDJZbF5UJxHj0cG2acEBIZFfW1G0n4Xx2IHWncDP8yCmzctU-2BTHhVVlAt5a4iKlL-2BQP2yTSQpIKlx85BR5ZQvgHm3AtrLbh-2Bm8HgqNoD2WZjLT-2FKvHbVe7Gh3ftxNq0e3YYfMpAoZzwEZU8cnfqlOcdm7rjBtUIdXP1V2WrEFtU6RuIsVmATImoKcIdtY6J1JA439-2BJaiP6yrVwkqJzqeV3BTt0kazt-2FQaSsA-3D-3D" TargetMode="External"/><Relationship Id="rId23" Type="http://schemas.openxmlformats.org/officeDocument/2006/relationships/hyperlink" Target="http://trpocb.org/" TargetMode="External"/><Relationship Id="rId28" Type="http://schemas.openxmlformats.org/officeDocument/2006/relationships/hyperlink" Target="https://trpocb.org/revendication-financiere-casssh/" TargetMode="External"/><Relationship Id="rId36" Type="http://schemas.openxmlformats.org/officeDocument/2006/relationships/theme" Target="theme/theme1.xml"/><Relationship Id="rId10" Type="http://schemas.openxmlformats.org/officeDocument/2006/relationships/hyperlink" Target="https://trpocb.org/wp-content/uploads/2025/06/2025-06-16-Mise-En-Demeure-Ministre-respons-Services-sociaux-Lionel-Carmant-Presidente-Conseil-tresor-Sonia-LeBel.pdf" TargetMode="External"/><Relationship Id="rId19" Type="http://schemas.openxmlformats.org/officeDocument/2006/relationships/hyperlink" Target="https://trpocb.org/mise-en-demeure-m-carmant-s-lebe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pocb.org/mise-en-demeure-m-carmant-s-lebel/" TargetMode="External"/><Relationship Id="rId14" Type="http://schemas.openxmlformats.org/officeDocument/2006/relationships/hyperlink" Target="https://trpocb.org/rencontre-urgente-10m-budget2025/" TargetMode="External"/><Relationship Id="rId22" Type="http://schemas.openxmlformats.org/officeDocument/2006/relationships/hyperlink" Target="https://trpocb.org/mise-en-demeure-m-carmant-s-lebel/" TargetMode="External"/><Relationship Id="rId27" Type="http://schemas.openxmlformats.org/officeDocument/2006/relationships/hyperlink" Target="http://trpocb.org/campagnecasssh/" TargetMode="External"/><Relationship Id="rId30" Type="http://schemas.openxmlformats.org/officeDocument/2006/relationships/hyperlink" Target="https://trpocb.org/seuils-planchers-campagne-casssh/" TargetMode="External"/><Relationship Id="rId35" Type="http://schemas.openxmlformats.org/officeDocument/2006/relationships/fontTable" Target="fontTable.xml"/><Relationship Id="rId8" Type="http://schemas.openxmlformats.org/officeDocument/2006/relationships/hyperlink" Target="https://trpocb.org/mise-en-demeure-m-carmant-s-lebe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ssnat.qc.ca/fr/travaux-parlementaires/commissions/csss-43-1/journal-debats/CSSS-250430.html" TargetMode="External"/><Relationship Id="rId1" Type="http://schemas.openxmlformats.org/officeDocument/2006/relationships/hyperlink" Target="https://www.assnat.qc.ca/fr/travaux-parlementaires/assemblee-nationale/43-1/journal-debats/20250326/403489.html%20vers%2015h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9BC9-EDEF-455B-B650-EC156022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2136</Words>
  <Characters>11748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Mercedez Roberge</dc:creator>
  <cp:lastModifiedBy>Jacinthe Messier</cp:lastModifiedBy>
  <cp:revision>2</cp:revision>
  <cp:lastPrinted>2025-06-26T16:58:00Z</cp:lastPrinted>
  <dcterms:created xsi:type="dcterms:W3CDTF">2025-06-26T16:59:00Z</dcterms:created>
  <dcterms:modified xsi:type="dcterms:W3CDTF">2025-06-26T16:59:00Z</dcterms:modified>
</cp:coreProperties>
</file>