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B401" w14:textId="77777777" w:rsidR="00A81BED" w:rsidRPr="00461F9F" w:rsidRDefault="00A81BED" w:rsidP="004535F2">
      <w:pPr>
        <w:spacing w:before="100" w:beforeAutospacing="1" w:after="100" w:afterAutospacing="1" w:line="240" w:lineRule="auto"/>
        <w:jc w:val="center"/>
        <w:rPr>
          <w:rFonts w:ascii="Arial Narrow" w:hAnsi="Arial Narrow"/>
          <w:b/>
          <w:bCs/>
          <w:sz w:val="36"/>
          <w:szCs w:val="36"/>
        </w:rPr>
      </w:pPr>
      <w:r w:rsidRPr="00461F9F">
        <w:rPr>
          <w:rFonts w:ascii="Arial Narrow" w:hAnsi="Arial Narrow"/>
          <w:b/>
          <w:bCs/>
          <w:noProof/>
          <w:sz w:val="36"/>
          <w:szCs w:val="36"/>
        </w:rPr>
        <w:drawing>
          <wp:inline distT="0" distB="0" distL="0" distR="0" wp14:anchorId="2D6404FA" wp14:editId="711FB226">
            <wp:extent cx="5943600" cy="1316355"/>
            <wp:effectExtent l="0" t="0" r="0" b="0"/>
            <wp:docPr id="11590331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3170" name="Image 1159033170"/>
                    <pic:cNvPicPr/>
                  </pic:nvPicPr>
                  <pic:blipFill>
                    <a:blip r:embed="rId11">
                      <a:extLst>
                        <a:ext uri="{28A0092B-C50C-407E-A947-70E740481C1C}">
                          <a14:useLocalDpi xmlns:a14="http://schemas.microsoft.com/office/drawing/2010/main" val="0"/>
                        </a:ext>
                      </a:extLst>
                    </a:blip>
                    <a:stretch>
                      <a:fillRect/>
                    </a:stretch>
                  </pic:blipFill>
                  <pic:spPr>
                    <a:xfrm>
                      <a:off x="0" y="0"/>
                      <a:ext cx="5943600" cy="1316355"/>
                    </a:xfrm>
                    <a:prstGeom prst="rect">
                      <a:avLst/>
                    </a:prstGeom>
                  </pic:spPr>
                </pic:pic>
              </a:graphicData>
            </a:graphic>
          </wp:inline>
        </w:drawing>
      </w:r>
    </w:p>
    <w:p w14:paraId="1E063B25" w14:textId="77777777" w:rsidR="00A81BED" w:rsidRPr="00461F9F" w:rsidRDefault="00A81BED" w:rsidP="004535F2">
      <w:pPr>
        <w:spacing w:before="100" w:beforeAutospacing="1" w:after="100" w:afterAutospacing="1" w:line="240" w:lineRule="auto"/>
        <w:jc w:val="center"/>
        <w:rPr>
          <w:rFonts w:ascii="Arial Narrow" w:hAnsi="Arial Narrow"/>
          <w:b/>
          <w:bCs/>
          <w:sz w:val="36"/>
          <w:szCs w:val="36"/>
        </w:rPr>
      </w:pPr>
    </w:p>
    <w:p w14:paraId="7017B76E" w14:textId="77777777" w:rsidR="00A81BED" w:rsidRPr="00461F9F" w:rsidRDefault="00A81BED" w:rsidP="004535F2">
      <w:pPr>
        <w:spacing w:before="100" w:beforeAutospacing="1" w:after="100" w:afterAutospacing="1" w:line="240" w:lineRule="auto"/>
        <w:jc w:val="center"/>
        <w:rPr>
          <w:rFonts w:ascii="Arial Narrow" w:hAnsi="Arial Narrow"/>
          <w:b/>
          <w:bCs/>
          <w:sz w:val="36"/>
          <w:szCs w:val="36"/>
        </w:rPr>
      </w:pPr>
    </w:p>
    <w:p w14:paraId="7DF55858" w14:textId="0B2453D5" w:rsidR="00704A85" w:rsidRPr="00461F9F" w:rsidRDefault="00A56679" w:rsidP="004535F2">
      <w:pPr>
        <w:spacing w:before="100" w:beforeAutospacing="1" w:after="100" w:afterAutospacing="1" w:line="240" w:lineRule="auto"/>
        <w:jc w:val="center"/>
        <w:rPr>
          <w:rFonts w:ascii="Arial Narrow" w:hAnsi="Arial Narrow"/>
          <w:b/>
          <w:bCs/>
          <w:color w:val="365F91" w:themeColor="accent1" w:themeShade="BF"/>
          <w:sz w:val="36"/>
          <w:szCs w:val="36"/>
        </w:rPr>
      </w:pPr>
      <w:r w:rsidRPr="00461F9F">
        <w:rPr>
          <w:rFonts w:ascii="Arial Narrow" w:hAnsi="Arial Narrow"/>
          <w:b/>
          <w:bCs/>
          <w:color w:val="365F91" w:themeColor="accent1" w:themeShade="BF"/>
          <w:sz w:val="36"/>
          <w:szCs w:val="36"/>
        </w:rPr>
        <w:t>A</w:t>
      </w:r>
      <w:r w:rsidR="00E054CE" w:rsidRPr="00461F9F">
        <w:rPr>
          <w:rFonts w:ascii="Arial Narrow" w:hAnsi="Arial Narrow"/>
          <w:b/>
          <w:bCs/>
          <w:color w:val="365F91" w:themeColor="accent1" w:themeShade="BF"/>
          <w:sz w:val="36"/>
          <w:szCs w:val="36"/>
        </w:rPr>
        <w:t>cquis sociaux</w:t>
      </w:r>
      <w:r w:rsidR="00D452B2" w:rsidRPr="00461F9F">
        <w:rPr>
          <w:rFonts w:ascii="Arial Narrow" w:hAnsi="Arial Narrow"/>
          <w:b/>
          <w:bCs/>
          <w:color w:val="365F91" w:themeColor="accent1" w:themeShade="BF"/>
          <w:sz w:val="36"/>
          <w:szCs w:val="36"/>
        </w:rPr>
        <w:t xml:space="preserve"> </w:t>
      </w:r>
      <w:r w:rsidR="002B3147" w:rsidRPr="00461F9F">
        <w:rPr>
          <w:rFonts w:ascii="Arial Narrow" w:hAnsi="Arial Narrow"/>
          <w:b/>
          <w:bCs/>
          <w:color w:val="365F91" w:themeColor="accent1" w:themeShade="BF"/>
          <w:sz w:val="36"/>
          <w:szCs w:val="36"/>
        </w:rPr>
        <w:t>en danger : les</w:t>
      </w:r>
      <w:r w:rsidR="00D452B2" w:rsidRPr="00461F9F">
        <w:rPr>
          <w:rFonts w:ascii="Arial Narrow" w:hAnsi="Arial Narrow"/>
          <w:b/>
          <w:bCs/>
          <w:color w:val="365F91" w:themeColor="accent1" w:themeShade="BF"/>
          <w:sz w:val="36"/>
          <w:szCs w:val="36"/>
        </w:rPr>
        <w:t xml:space="preserve"> fusions</w:t>
      </w:r>
      <w:r w:rsidR="008C4695" w:rsidRPr="00461F9F">
        <w:rPr>
          <w:rFonts w:ascii="Arial Narrow" w:hAnsi="Arial Narrow"/>
          <w:b/>
          <w:bCs/>
          <w:color w:val="365F91" w:themeColor="accent1" w:themeShade="BF"/>
          <w:sz w:val="36"/>
          <w:szCs w:val="36"/>
        </w:rPr>
        <w:t xml:space="preserve"> proposées par le projet de loi no 7</w:t>
      </w:r>
      <w:r w:rsidR="002B3147" w:rsidRPr="00461F9F">
        <w:rPr>
          <w:rFonts w:ascii="Arial Narrow" w:hAnsi="Arial Narrow"/>
          <w:b/>
          <w:bCs/>
          <w:color w:val="365F91" w:themeColor="accent1" w:themeShade="BF"/>
          <w:sz w:val="36"/>
          <w:szCs w:val="36"/>
        </w:rPr>
        <w:t xml:space="preserve"> mettent </w:t>
      </w:r>
      <w:r w:rsidR="00FA70D4" w:rsidRPr="00461F9F">
        <w:rPr>
          <w:rFonts w:ascii="Arial Narrow" w:hAnsi="Arial Narrow"/>
          <w:b/>
          <w:bCs/>
          <w:color w:val="365F91" w:themeColor="accent1" w:themeShade="BF"/>
          <w:sz w:val="36"/>
          <w:szCs w:val="36"/>
        </w:rPr>
        <w:t xml:space="preserve">notamment </w:t>
      </w:r>
      <w:r w:rsidR="002B3147" w:rsidRPr="00461F9F">
        <w:rPr>
          <w:rFonts w:ascii="Arial Narrow" w:hAnsi="Arial Narrow"/>
          <w:b/>
          <w:bCs/>
          <w:color w:val="365F91" w:themeColor="accent1" w:themeShade="BF"/>
          <w:sz w:val="36"/>
          <w:szCs w:val="36"/>
        </w:rPr>
        <w:t>en</w:t>
      </w:r>
      <w:r w:rsidR="00704A85" w:rsidRPr="00461F9F">
        <w:rPr>
          <w:rFonts w:ascii="Arial Narrow" w:hAnsi="Arial Narrow"/>
          <w:b/>
          <w:bCs/>
          <w:color w:val="365F91" w:themeColor="accent1" w:themeShade="BF"/>
          <w:sz w:val="36"/>
          <w:szCs w:val="36"/>
        </w:rPr>
        <w:t xml:space="preserve"> </w:t>
      </w:r>
      <w:r w:rsidRPr="00461F9F">
        <w:rPr>
          <w:rFonts w:ascii="Arial Narrow" w:hAnsi="Arial Narrow"/>
          <w:b/>
          <w:bCs/>
          <w:color w:val="365F91" w:themeColor="accent1" w:themeShade="BF"/>
          <w:sz w:val="36"/>
          <w:szCs w:val="36"/>
        </w:rPr>
        <w:t>péril le mouvement de l’action communautaire autonome</w:t>
      </w:r>
      <w:r w:rsidR="007B74DD" w:rsidRPr="00461F9F">
        <w:rPr>
          <w:rFonts w:ascii="Arial Narrow" w:hAnsi="Arial Narrow"/>
          <w:b/>
          <w:bCs/>
          <w:color w:val="365F91" w:themeColor="accent1" w:themeShade="BF"/>
          <w:sz w:val="36"/>
          <w:szCs w:val="36"/>
        </w:rPr>
        <w:t xml:space="preserve"> et </w:t>
      </w:r>
      <w:r w:rsidRPr="00461F9F">
        <w:rPr>
          <w:rFonts w:ascii="Arial Narrow" w:hAnsi="Arial Narrow"/>
          <w:b/>
          <w:bCs/>
          <w:color w:val="365F91" w:themeColor="accent1" w:themeShade="BF"/>
          <w:sz w:val="36"/>
          <w:szCs w:val="36"/>
        </w:rPr>
        <w:t>dénature</w:t>
      </w:r>
      <w:r w:rsidR="00686386" w:rsidRPr="00461F9F">
        <w:rPr>
          <w:rFonts w:ascii="Arial Narrow" w:hAnsi="Arial Narrow"/>
          <w:b/>
          <w:bCs/>
          <w:color w:val="365F91" w:themeColor="accent1" w:themeShade="BF"/>
          <w:sz w:val="36"/>
          <w:szCs w:val="36"/>
        </w:rPr>
        <w:t>nt</w:t>
      </w:r>
      <w:r w:rsidRPr="00461F9F">
        <w:rPr>
          <w:rFonts w:ascii="Arial Narrow" w:hAnsi="Arial Narrow"/>
          <w:b/>
          <w:bCs/>
          <w:color w:val="365F91" w:themeColor="accent1" w:themeShade="BF"/>
          <w:sz w:val="36"/>
          <w:szCs w:val="36"/>
        </w:rPr>
        <w:t xml:space="preserve"> le Régime québécois d’assurance parentale</w:t>
      </w:r>
    </w:p>
    <w:p w14:paraId="04765265" w14:textId="77777777" w:rsidR="00ED2CF9" w:rsidRPr="00461F9F" w:rsidRDefault="00ED2CF9" w:rsidP="004535F2">
      <w:pPr>
        <w:spacing w:line="240" w:lineRule="auto"/>
        <w:jc w:val="center"/>
        <w:rPr>
          <w:rFonts w:ascii="Arial Narrow" w:hAnsi="Arial Narrow"/>
          <w:sz w:val="32"/>
          <w:szCs w:val="32"/>
        </w:rPr>
      </w:pPr>
    </w:p>
    <w:p w14:paraId="4840C74B" w14:textId="0A50C6E1" w:rsidR="00A81BED" w:rsidRPr="00461F9F" w:rsidRDefault="00A81BED" w:rsidP="004535F2">
      <w:pPr>
        <w:spacing w:line="240" w:lineRule="auto"/>
        <w:jc w:val="center"/>
        <w:rPr>
          <w:rFonts w:ascii="Arial Narrow" w:hAnsi="Arial Narrow"/>
          <w:i/>
          <w:iCs/>
          <w:sz w:val="28"/>
          <w:szCs w:val="28"/>
        </w:rPr>
      </w:pPr>
      <w:r w:rsidRPr="00461F9F">
        <w:rPr>
          <w:rFonts w:ascii="Arial Narrow" w:hAnsi="Arial Narrow"/>
          <w:sz w:val="28"/>
          <w:szCs w:val="28"/>
        </w:rPr>
        <w:t xml:space="preserve">Mémoire présenté à la Commission des finances publiques </w:t>
      </w:r>
      <w:r w:rsidR="00072124" w:rsidRPr="00461F9F">
        <w:rPr>
          <w:rFonts w:ascii="Arial Narrow" w:hAnsi="Arial Narrow"/>
          <w:sz w:val="28"/>
          <w:szCs w:val="28"/>
        </w:rPr>
        <w:br/>
      </w:r>
      <w:r w:rsidRPr="00461F9F">
        <w:rPr>
          <w:rFonts w:ascii="Arial Narrow" w:hAnsi="Arial Narrow"/>
          <w:sz w:val="28"/>
          <w:szCs w:val="28"/>
        </w:rPr>
        <w:t>par la Table des regroupements provinciaux d’organismes communautaires</w:t>
      </w:r>
      <w:r w:rsidR="000D5802" w:rsidRPr="00461F9F">
        <w:rPr>
          <w:rFonts w:ascii="Arial Narrow" w:hAnsi="Arial Narrow"/>
          <w:sz w:val="28"/>
          <w:szCs w:val="28"/>
        </w:rPr>
        <w:t xml:space="preserve"> </w:t>
      </w:r>
      <w:r w:rsidRPr="00461F9F">
        <w:rPr>
          <w:rFonts w:ascii="Arial Narrow" w:hAnsi="Arial Narrow"/>
          <w:sz w:val="28"/>
          <w:szCs w:val="28"/>
        </w:rPr>
        <w:t>et bénévoles</w:t>
      </w:r>
      <w:r w:rsidR="000D5802" w:rsidRPr="00461F9F">
        <w:rPr>
          <w:rFonts w:ascii="Arial Narrow" w:hAnsi="Arial Narrow"/>
          <w:sz w:val="28"/>
          <w:szCs w:val="28"/>
        </w:rPr>
        <w:br/>
      </w:r>
      <w:r w:rsidRPr="00461F9F">
        <w:rPr>
          <w:rFonts w:ascii="Arial Narrow" w:hAnsi="Arial Narrow"/>
          <w:sz w:val="28"/>
          <w:szCs w:val="28"/>
        </w:rPr>
        <w:t xml:space="preserve">dans le cadre de la consultation sur le projet de loi no 7 </w:t>
      </w:r>
      <w:r w:rsidR="00C6517B" w:rsidRPr="00461F9F">
        <w:rPr>
          <w:rFonts w:ascii="Arial Narrow" w:hAnsi="Arial Narrow"/>
          <w:sz w:val="28"/>
          <w:szCs w:val="28"/>
        </w:rPr>
        <w:br/>
      </w:r>
      <w:r w:rsidR="00992D06" w:rsidRPr="00461F9F">
        <w:rPr>
          <w:rFonts w:ascii="Arial Narrow" w:hAnsi="Arial Narrow"/>
          <w:i/>
          <w:iCs/>
          <w:sz w:val="28"/>
          <w:szCs w:val="28"/>
        </w:rPr>
        <w:t xml:space="preserve">Loi </w:t>
      </w:r>
      <w:r w:rsidRPr="00461F9F">
        <w:rPr>
          <w:rFonts w:ascii="Arial Narrow" w:hAnsi="Arial Narrow"/>
          <w:i/>
          <w:iCs/>
          <w:sz w:val="28"/>
          <w:szCs w:val="28"/>
        </w:rPr>
        <w:t>visant à réduire la bureaucratie, à accroître l’efficacité de l’État et à renforcer l’imputabilité des hauts fonctionnaires</w:t>
      </w:r>
    </w:p>
    <w:p w14:paraId="1D941A4F" w14:textId="77777777" w:rsidR="00A81BED" w:rsidRPr="00461F9F" w:rsidRDefault="00A81BED" w:rsidP="004535F2">
      <w:pPr>
        <w:spacing w:before="100" w:beforeAutospacing="1" w:after="100" w:afterAutospacing="1" w:line="240" w:lineRule="auto"/>
        <w:jc w:val="center"/>
        <w:rPr>
          <w:rFonts w:ascii="Arial Narrow" w:hAnsi="Arial Narrow"/>
          <w:sz w:val="28"/>
          <w:szCs w:val="28"/>
        </w:rPr>
      </w:pPr>
    </w:p>
    <w:p w14:paraId="2E6CC76C" w14:textId="77777777" w:rsidR="000D5802" w:rsidRPr="00461F9F" w:rsidRDefault="000D5802" w:rsidP="004535F2">
      <w:pPr>
        <w:spacing w:before="100" w:beforeAutospacing="1" w:after="100" w:afterAutospacing="1" w:line="240" w:lineRule="auto"/>
        <w:jc w:val="center"/>
        <w:rPr>
          <w:rFonts w:ascii="Arial Narrow" w:hAnsi="Arial Narrow"/>
          <w:sz w:val="28"/>
          <w:szCs w:val="28"/>
        </w:rPr>
      </w:pPr>
    </w:p>
    <w:p w14:paraId="55C20CE2" w14:textId="41E169E5" w:rsidR="00A81BED" w:rsidRPr="00461F9F" w:rsidRDefault="00A81BED" w:rsidP="004535F2">
      <w:pPr>
        <w:spacing w:before="100" w:beforeAutospacing="1" w:after="100" w:afterAutospacing="1" w:line="240" w:lineRule="auto"/>
        <w:jc w:val="center"/>
        <w:rPr>
          <w:rFonts w:ascii="Arial Narrow" w:hAnsi="Arial Narrow"/>
          <w:sz w:val="28"/>
          <w:szCs w:val="28"/>
        </w:rPr>
      </w:pPr>
      <w:r w:rsidRPr="00461F9F">
        <w:rPr>
          <w:rFonts w:ascii="Arial Narrow" w:hAnsi="Arial Narrow"/>
          <w:sz w:val="28"/>
          <w:szCs w:val="28"/>
        </w:rPr>
        <w:t xml:space="preserve">Le </w:t>
      </w:r>
      <w:r w:rsidR="00FD525A" w:rsidRPr="00461F9F">
        <w:rPr>
          <w:rFonts w:ascii="Arial Narrow" w:hAnsi="Arial Narrow"/>
          <w:sz w:val="28"/>
          <w:szCs w:val="28"/>
        </w:rPr>
        <w:t>30</w:t>
      </w:r>
      <w:r w:rsidR="00AC121B" w:rsidRPr="00461F9F">
        <w:rPr>
          <w:rFonts w:ascii="Arial Narrow" w:hAnsi="Arial Narrow"/>
          <w:sz w:val="28"/>
          <w:szCs w:val="28"/>
        </w:rPr>
        <w:t xml:space="preserve"> novembre </w:t>
      </w:r>
      <w:r w:rsidRPr="00461F9F">
        <w:rPr>
          <w:rFonts w:ascii="Arial Narrow" w:hAnsi="Arial Narrow"/>
          <w:sz w:val="28"/>
          <w:szCs w:val="28"/>
        </w:rPr>
        <w:t>2025</w:t>
      </w:r>
    </w:p>
    <w:p w14:paraId="32FE3910" w14:textId="77777777" w:rsidR="000D5802" w:rsidRPr="00461F9F" w:rsidRDefault="000D5802" w:rsidP="004535F2">
      <w:pPr>
        <w:spacing w:before="100" w:beforeAutospacing="1" w:after="100" w:afterAutospacing="1" w:line="240" w:lineRule="auto"/>
        <w:jc w:val="center"/>
        <w:rPr>
          <w:rFonts w:ascii="Arial Narrow" w:hAnsi="Arial Narrow"/>
          <w:sz w:val="28"/>
          <w:szCs w:val="28"/>
        </w:rPr>
      </w:pPr>
    </w:p>
    <w:p w14:paraId="729CE924" w14:textId="77777777" w:rsidR="000D5802" w:rsidRPr="00461F9F" w:rsidRDefault="000D5802" w:rsidP="004535F2">
      <w:pPr>
        <w:spacing w:before="100" w:beforeAutospacing="1" w:after="100" w:afterAutospacing="1" w:line="240" w:lineRule="auto"/>
        <w:jc w:val="center"/>
        <w:rPr>
          <w:rFonts w:ascii="Arial Narrow" w:hAnsi="Arial Narrow"/>
          <w:sz w:val="28"/>
          <w:szCs w:val="28"/>
        </w:rPr>
      </w:pPr>
    </w:p>
    <w:p w14:paraId="648B2DB2" w14:textId="77777777" w:rsidR="00A81BED" w:rsidRPr="00461F9F" w:rsidRDefault="00A81BED" w:rsidP="004535F2">
      <w:pPr>
        <w:spacing w:line="240" w:lineRule="auto"/>
        <w:jc w:val="center"/>
        <w:rPr>
          <w:rFonts w:ascii="Arial Narrow" w:hAnsi="Arial Narrow"/>
          <w:sz w:val="24"/>
          <w:szCs w:val="24"/>
        </w:rPr>
      </w:pPr>
      <w:r w:rsidRPr="00461F9F">
        <w:rPr>
          <w:rFonts w:ascii="Arial Narrow" w:hAnsi="Arial Narrow"/>
          <w:sz w:val="24"/>
          <w:szCs w:val="24"/>
        </w:rPr>
        <w:t>Table des regroupements provinciaux d’organismes communautaires et bénévoles</w:t>
      </w:r>
    </w:p>
    <w:p w14:paraId="4A64E5CC" w14:textId="77777777" w:rsidR="00A81BED" w:rsidRPr="00461F9F" w:rsidRDefault="00A81BED" w:rsidP="004535F2">
      <w:pPr>
        <w:spacing w:line="240" w:lineRule="auto"/>
        <w:jc w:val="center"/>
        <w:rPr>
          <w:rFonts w:ascii="Arial Narrow" w:hAnsi="Arial Narrow"/>
          <w:sz w:val="24"/>
          <w:szCs w:val="24"/>
        </w:rPr>
      </w:pPr>
      <w:r w:rsidRPr="00461F9F">
        <w:rPr>
          <w:rFonts w:ascii="Arial Narrow" w:hAnsi="Arial Narrow"/>
          <w:sz w:val="24"/>
          <w:szCs w:val="24"/>
        </w:rPr>
        <w:t xml:space="preserve">1, rue Sherbrooke Est, Montréal, Québec, H2X 3V8, 514-844-1309 </w:t>
      </w:r>
      <w:r w:rsidRPr="00461F9F">
        <w:rPr>
          <w:rFonts w:ascii="Arial Narrow" w:hAnsi="Arial Narrow"/>
          <w:sz w:val="24"/>
          <w:szCs w:val="24"/>
        </w:rPr>
        <w:br/>
      </w:r>
      <w:hyperlink r:id="rId12" w:history="1">
        <w:r w:rsidRPr="00461F9F">
          <w:rPr>
            <w:rStyle w:val="Hyperlien"/>
            <w:rFonts w:ascii="Arial Narrow" w:hAnsi="Arial Narrow"/>
            <w:sz w:val="24"/>
            <w:szCs w:val="24"/>
          </w:rPr>
          <w:t>info@trpocb.org</w:t>
        </w:r>
      </w:hyperlink>
      <w:r w:rsidRPr="00461F9F">
        <w:rPr>
          <w:rFonts w:ascii="Arial Narrow" w:hAnsi="Arial Narrow"/>
          <w:sz w:val="24"/>
          <w:szCs w:val="24"/>
        </w:rPr>
        <w:t xml:space="preserve"> | </w:t>
      </w:r>
      <w:hyperlink r:id="rId13" w:history="1">
        <w:r w:rsidRPr="00461F9F">
          <w:rPr>
            <w:rStyle w:val="Hyperlien"/>
            <w:rFonts w:ascii="Arial Narrow" w:hAnsi="Arial Narrow"/>
            <w:sz w:val="24"/>
            <w:szCs w:val="24"/>
          </w:rPr>
          <w:t>http://www.trpocb.org</w:t>
        </w:r>
      </w:hyperlink>
      <w:r w:rsidRPr="00461F9F">
        <w:rPr>
          <w:rFonts w:ascii="Arial Narrow" w:hAnsi="Arial Narrow"/>
          <w:sz w:val="24"/>
          <w:szCs w:val="24"/>
        </w:rPr>
        <w:t xml:space="preserve"> </w:t>
      </w:r>
    </w:p>
    <w:p w14:paraId="34C27A36" w14:textId="2F0876E9" w:rsidR="0020062A" w:rsidRPr="00461F9F" w:rsidRDefault="00A81BED" w:rsidP="004535F2">
      <w:pPr>
        <w:spacing w:line="240" w:lineRule="auto"/>
        <w:jc w:val="center"/>
        <w:rPr>
          <w:rFonts w:ascii="Arial Narrow" w:hAnsi="Arial Narrow"/>
          <w:lang w:val="en-CA"/>
        </w:rPr>
      </w:pPr>
      <w:r>
        <w:fldChar w:fldCharType="begin"/>
      </w:r>
      <w:r w:rsidRPr="00195437">
        <w:rPr>
          <w:lang w:val="en-CA"/>
        </w:rPr>
        <w:instrText>HYPERLINK "mailto:casssh@trpocb.org"</w:instrText>
      </w:r>
      <w:r>
        <w:fldChar w:fldCharType="separate"/>
      </w:r>
      <w:r w:rsidRPr="00461F9F">
        <w:rPr>
          <w:rStyle w:val="Hyperlien"/>
          <w:rFonts w:ascii="Arial Narrow" w:hAnsi="Arial Narrow"/>
          <w:sz w:val="24"/>
          <w:szCs w:val="24"/>
          <w:lang w:val="en-CA"/>
        </w:rPr>
        <w:t>casssh@trpocb.org</w:t>
      </w:r>
      <w:r>
        <w:fldChar w:fldCharType="end"/>
      </w:r>
      <w:r w:rsidRPr="00461F9F">
        <w:rPr>
          <w:rFonts w:ascii="Arial Narrow" w:hAnsi="Arial Narrow"/>
          <w:sz w:val="24"/>
          <w:szCs w:val="24"/>
          <w:lang w:val="en-CA"/>
        </w:rPr>
        <w:t xml:space="preserve"> | </w:t>
      </w:r>
      <w:r>
        <w:fldChar w:fldCharType="begin"/>
      </w:r>
      <w:r w:rsidRPr="00195437">
        <w:rPr>
          <w:lang w:val="en-CA"/>
        </w:rPr>
        <w:instrText>HYPERLINK "http://www.trpocb.org/campagneCASSSH"</w:instrText>
      </w:r>
      <w:r>
        <w:fldChar w:fldCharType="separate"/>
      </w:r>
      <w:r w:rsidRPr="00461F9F">
        <w:rPr>
          <w:rStyle w:val="Hyperlien"/>
          <w:rFonts w:ascii="Arial Narrow" w:hAnsi="Arial Narrow"/>
          <w:sz w:val="24"/>
          <w:szCs w:val="24"/>
          <w:lang w:val="en-CA"/>
        </w:rPr>
        <w:t>http://www.trpocb.org/campagneCASSSH</w:t>
      </w:r>
      <w:r>
        <w:fldChar w:fldCharType="end"/>
      </w:r>
      <w:r w:rsidRPr="00461F9F">
        <w:rPr>
          <w:rFonts w:ascii="Arial Narrow" w:hAnsi="Arial Narrow"/>
          <w:sz w:val="24"/>
          <w:szCs w:val="24"/>
          <w:lang w:val="en-CA"/>
        </w:rPr>
        <w:t xml:space="preserve"> </w:t>
      </w:r>
      <w:r w:rsidRPr="00461F9F">
        <w:rPr>
          <w:rFonts w:ascii="Arial Narrow" w:hAnsi="Arial Narrow"/>
          <w:sz w:val="24"/>
          <w:szCs w:val="24"/>
          <w:lang w:val="en-CA"/>
        </w:rPr>
        <w:br/>
      </w:r>
      <w:r>
        <w:fldChar w:fldCharType="begin"/>
      </w:r>
      <w:r w:rsidRPr="00195437">
        <w:rPr>
          <w:lang w:val="en-CA"/>
        </w:rPr>
        <w:instrText>HYPERLINK "https://tabletrpocb.sharepoint.com/sites/Portail/Commun/Gouvernement/Québec/Loi%20Cie,%20registraire,%20Admin%20publique/PL7/facebook.com/campagneCASSSH"</w:instrText>
      </w:r>
      <w:r>
        <w:fldChar w:fldCharType="separate"/>
      </w:r>
      <w:r w:rsidRPr="00461F9F">
        <w:rPr>
          <w:rStyle w:val="Hyperlien"/>
          <w:rFonts w:ascii="Arial Narrow" w:hAnsi="Arial Narrow"/>
          <w:sz w:val="24"/>
          <w:szCs w:val="24"/>
          <w:lang w:val="en-CA"/>
        </w:rPr>
        <w:t>facebook.com/</w:t>
      </w:r>
      <w:proofErr w:type="spellStart"/>
      <w:r w:rsidRPr="00461F9F">
        <w:rPr>
          <w:rStyle w:val="Hyperlien"/>
          <w:rFonts w:ascii="Arial Narrow" w:hAnsi="Arial Narrow"/>
          <w:sz w:val="24"/>
          <w:szCs w:val="24"/>
          <w:lang w:val="en-CA"/>
        </w:rPr>
        <w:t>campagneCASSSH</w:t>
      </w:r>
      <w:proofErr w:type="spellEnd"/>
      <w:r>
        <w:fldChar w:fldCharType="end"/>
      </w:r>
      <w:r w:rsidRPr="00461F9F">
        <w:rPr>
          <w:rFonts w:ascii="Arial Narrow" w:hAnsi="Arial Narrow"/>
          <w:sz w:val="24"/>
          <w:szCs w:val="24"/>
          <w:lang w:val="en-CA"/>
        </w:rPr>
        <w:t xml:space="preserve"> | </w:t>
      </w:r>
      <w:r>
        <w:fldChar w:fldCharType="begin"/>
      </w:r>
      <w:r w:rsidRPr="00195437">
        <w:rPr>
          <w:lang w:val="en-CA"/>
        </w:rPr>
        <w:instrText>HYPERLINK "https://tabletrpocb.sharepoint.com/sites/Portail/Commun/Gouvernement/Québec/Loi%20Cie,%20registraire,%20Admin%20publique/PL7/facebook.com/TableDesRegroupements"</w:instrText>
      </w:r>
      <w:r>
        <w:fldChar w:fldCharType="separate"/>
      </w:r>
      <w:r w:rsidRPr="00461F9F">
        <w:rPr>
          <w:rStyle w:val="Hyperlien"/>
          <w:rFonts w:ascii="Arial Narrow" w:hAnsi="Arial Narrow"/>
          <w:sz w:val="24"/>
          <w:szCs w:val="24"/>
          <w:lang w:val="en-CA"/>
        </w:rPr>
        <w:t>facebook.com/</w:t>
      </w:r>
      <w:proofErr w:type="spellStart"/>
      <w:r w:rsidRPr="00461F9F">
        <w:rPr>
          <w:rStyle w:val="Hyperlien"/>
          <w:rFonts w:ascii="Arial Narrow" w:hAnsi="Arial Narrow"/>
          <w:sz w:val="24"/>
          <w:szCs w:val="24"/>
          <w:lang w:val="en-CA"/>
        </w:rPr>
        <w:t>TableDesRegroupements</w:t>
      </w:r>
      <w:proofErr w:type="spellEnd"/>
      <w:r>
        <w:fldChar w:fldCharType="end"/>
      </w:r>
    </w:p>
    <w:p w14:paraId="72C69D3C" w14:textId="77777777" w:rsidR="0020062A" w:rsidRPr="00461F9F" w:rsidRDefault="0020062A" w:rsidP="004535F2">
      <w:pPr>
        <w:rPr>
          <w:rFonts w:ascii="Arial Narrow" w:hAnsi="Arial Narrow"/>
          <w:lang w:val="en-CA"/>
        </w:rPr>
      </w:pPr>
      <w:r w:rsidRPr="00461F9F">
        <w:rPr>
          <w:rFonts w:ascii="Arial Narrow" w:hAnsi="Arial Narrow"/>
          <w:lang w:val="en-CA"/>
        </w:rPr>
        <w:br w:type="page"/>
      </w:r>
    </w:p>
    <w:p w14:paraId="79628358" w14:textId="77777777" w:rsidR="00F907F3" w:rsidRPr="00461F9F" w:rsidRDefault="00F907F3" w:rsidP="004535F2">
      <w:pPr>
        <w:spacing w:line="240" w:lineRule="auto"/>
        <w:jc w:val="center"/>
        <w:rPr>
          <w:rFonts w:ascii="Arial Narrow" w:hAnsi="Arial Narrow"/>
          <w:sz w:val="24"/>
          <w:szCs w:val="24"/>
          <w:lang w:val="en-CA"/>
        </w:rPr>
      </w:pPr>
    </w:p>
    <w:sdt>
      <w:sdtPr>
        <w:rPr>
          <w:rFonts w:ascii="Arial Narrow" w:eastAsia="Arial" w:hAnsi="Arial Narrow" w:cs="Arial"/>
          <w:color w:val="auto"/>
          <w:sz w:val="22"/>
          <w:szCs w:val="22"/>
        </w:rPr>
        <w:id w:val="831953111"/>
        <w:docPartObj>
          <w:docPartGallery w:val="Table of Contents"/>
          <w:docPartUnique/>
        </w:docPartObj>
      </w:sdtPr>
      <w:sdtEndPr>
        <w:rPr>
          <w:b/>
          <w:bCs/>
        </w:rPr>
      </w:sdtEndPr>
      <w:sdtContent>
        <w:p w14:paraId="3C8FFAD2" w14:textId="56586945" w:rsidR="00673E52" w:rsidRPr="00461F9F" w:rsidRDefault="00673E52" w:rsidP="004535F2">
          <w:pPr>
            <w:pStyle w:val="En-ttedetabledesmatires"/>
            <w:rPr>
              <w:rFonts w:ascii="Arial Narrow" w:hAnsi="Arial Narrow"/>
            </w:rPr>
          </w:pPr>
          <w:r w:rsidRPr="00461F9F">
            <w:rPr>
              <w:rFonts w:ascii="Arial Narrow" w:hAnsi="Arial Narrow"/>
            </w:rPr>
            <w:t>Table des matières</w:t>
          </w:r>
        </w:p>
        <w:p w14:paraId="7FCAD33D" w14:textId="3DA6C87C" w:rsidR="00C6517B" w:rsidRPr="00461F9F" w:rsidRDefault="003A4BD5" w:rsidP="004535F2">
          <w:pPr>
            <w:pStyle w:val="TM2"/>
            <w:tabs>
              <w:tab w:val="right" w:leader="underscore" w:pos="9396"/>
            </w:tabs>
            <w:ind w:left="0"/>
            <w:rPr>
              <w:rFonts w:ascii="Arial Narrow" w:eastAsiaTheme="minorEastAsia" w:hAnsi="Arial Narrow" w:cstheme="minorBidi"/>
              <w:b w:val="0"/>
              <w:bCs w:val="0"/>
              <w:noProof/>
              <w:kern w:val="2"/>
              <w:sz w:val="24"/>
              <w:szCs w:val="24"/>
              <w14:ligatures w14:val="standardContextual"/>
            </w:rPr>
          </w:pPr>
          <w:r w:rsidRPr="00461F9F">
            <w:rPr>
              <w:rFonts w:ascii="Arial Narrow" w:hAnsi="Arial Narrow"/>
              <w:b w:val="0"/>
              <w:bCs w:val="0"/>
            </w:rPr>
            <w:fldChar w:fldCharType="begin"/>
          </w:r>
          <w:r w:rsidRPr="00461F9F">
            <w:rPr>
              <w:rFonts w:ascii="Arial Narrow" w:hAnsi="Arial Narrow"/>
              <w:b w:val="0"/>
              <w:bCs w:val="0"/>
            </w:rPr>
            <w:instrText xml:space="preserve"> TOC \o "1-3" \h \z \u </w:instrText>
          </w:r>
          <w:r w:rsidRPr="00461F9F">
            <w:rPr>
              <w:rFonts w:ascii="Arial Narrow" w:hAnsi="Arial Narrow"/>
              <w:b w:val="0"/>
              <w:bCs w:val="0"/>
            </w:rPr>
            <w:fldChar w:fldCharType="separate"/>
          </w:r>
          <w:hyperlink w:anchor="_Toc215406202" w:history="1">
            <w:r w:rsidR="00C6517B" w:rsidRPr="00461F9F">
              <w:rPr>
                <w:rStyle w:val="Hyperlien"/>
                <w:rFonts w:ascii="Arial Narrow" w:hAnsi="Arial Narrow"/>
                <w:noProof/>
              </w:rPr>
              <w:t>À propos de la Table des regroupements provinciaux d’organismes communautaires et bénévoles</w:t>
            </w:r>
            <w:r w:rsidR="00C6517B" w:rsidRPr="00461F9F">
              <w:rPr>
                <w:rFonts w:ascii="Arial Narrow" w:hAnsi="Arial Narrow"/>
                <w:noProof/>
                <w:webHidden/>
              </w:rPr>
              <w:tab/>
            </w:r>
            <w:r w:rsidR="00C6517B" w:rsidRPr="00461F9F">
              <w:rPr>
                <w:rFonts w:ascii="Arial Narrow" w:hAnsi="Arial Narrow"/>
                <w:noProof/>
                <w:webHidden/>
              </w:rPr>
              <w:fldChar w:fldCharType="begin"/>
            </w:r>
            <w:r w:rsidR="00C6517B" w:rsidRPr="00461F9F">
              <w:rPr>
                <w:rFonts w:ascii="Arial Narrow" w:hAnsi="Arial Narrow"/>
                <w:noProof/>
                <w:webHidden/>
              </w:rPr>
              <w:instrText xml:space="preserve"> PAGEREF _Toc215406202 \h </w:instrText>
            </w:r>
            <w:r w:rsidR="00C6517B" w:rsidRPr="00461F9F">
              <w:rPr>
                <w:rFonts w:ascii="Arial Narrow" w:hAnsi="Arial Narrow"/>
                <w:noProof/>
                <w:webHidden/>
              </w:rPr>
            </w:r>
            <w:r w:rsidR="00C6517B" w:rsidRPr="00461F9F">
              <w:rPr>
                <w:rFonts w:ascii="Arial Narrow" w:hAnsi="Arial Narrow"/>
                <w:noProof/>
                <w:webHidden/>
              </w:rPr>
              <w:fldChar w:fldCharType="separate"/>
            </w:r>
            <w:r w:rsidR="00172054">
              <w:rPr>
                <w:rFonts w:ascii="Arial Narrow" w:hAnsi="Arial Narrow"/>
                <w:noProof/>
                <w:webHidden/>
              </w:rPr>
              <w:t>3</w:t>
            </w:r>
            <w:r w:rsidR="00C6517B" w:rsidRPr="00461F9F">
              <w:rPr>
                <w:rFonts w:ascii="Arial Narrow" w:hAnsi="Arial Narrow"/>
                <w:noProof/>
                <w:webHidden/>
              </w:rPr>
              <w:fldChar w:fldCharType="end"/>
            </w:r>
          </w:hyperlink>
        </w:p>
        <w:p w14:paraId="2316C60B" w14:textId="6F9B448C"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3" w:history="1">
            <w:r w:rsidRPr="00461F9F">
              <w:rPr>
                <w:rStyle w:val="Hyperlien"/>
                <w:rFonts w:ascii="Arial Narrow" w:hAnsi="Arial Narrow"/>
                <w:noProof/>
              </w:rPr>
              <w:t>1.</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Le projet de loi no 7 est immense et il en va ainsi de ses conséquences</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_Toc215406203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4</w:t>
            </w:r>
            <w:r w:rsidRPr="00461F9F">
              <w:rPr>
                <w:rFonts w:ascii="Arial Narrow" w:hAnsi="Arial Narrow"/>
                <w:noProof/>
                <w:webHidden/>
              </w:rPr>
              <w:fldChar w:fldCharType="end"/>
            </w:r>
          </w:hyperlink>
        </w:p>
        <w:p w14:paraId="3BB869A4" w14:textId="7CC08D6B"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4" w:history="1">
            <w:r w:rsidRPr="00461F9F">
              <w:rPr>
                <w:rStyle w:val="Hyperlien"/>
                <w:rFonts w:ascii="Arial Narrow" w:hAnsi="Arial Narrow"/>
                <w:noProof/>
              </w:rPr>
              <w:t>2.</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Le Fonds d'aide à l'action communautaire autonome (FAACA) est bien plus qu'une simple source de financement</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_Toc215406204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4</w:t>
            </w:r>
            <w:r w:rsidRPr="00461F9F">
              <w:rPr>
                <w:rFonts w:ascii="Arial Narrow" w:hAnsi="Arial Narrow"/>
                <w:noProof/>
                <w:webHidden/>
              </w:rPr>
              <w:fldChar w:fldCharType="end"/>
            </w:r>
          </w:hyperlink>
        </w:p>
        <w:p w14:paraId="2CB983A8" w14:textId="13A6B44D"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5" w:history="1">
            <w:r w:rsidRPr="00461F9F">
              <w:rPr>
                <w:rStyle w:val="Hyperlien"/>
                <w:rFonts w:ascii="Arial Narrow" w:hAnsi="Arial Narrow"/>
                <w:noProof/>
              </w:rPr>
              <w:t>3.</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La gestion de l’État ne doit pas compromettre l’autonomie de l’action communautaire autonome</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_Toc215406205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5</w:t>
            </w:r>
            <w:r w:rsidRPr="00461F9F">
              <w:rPr>
                <w:rFonts w:ascii="Arial Narrow" w:hAnsi="Arial Narrow"/>
                <w:noProof/>
                <w:webHidden/>
              </w:rPr>
              <w:fldChar w:fldCharType="end"/>
            </w:r>
          </w:hyperlink>
        </w:p>
        <w:p w14:paraId="63FC9E05" w14:textId="5CD51281"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6" w:history="1">
            <w:r w:rsidRPr="00461F9F">
              <w:rPr>
                <w:rStyle w:val="Hyperlien"/>
                <w:rFonts w:ascii="Arial Narrow" w:hAnsi="Arial Narrow"/>
                <w:noProof/>
              </w:rPr>
              <w:t>4.</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Dissolution du Conseil de gestion de l’assurance parentale et transfert des responsabilités du Régime québécois d’assurance parentale : un sens dénaturé</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_Toc215406206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6</w:t>
            </w:r>
            <w:r w:rsidRPr="00461F9F">
              <w:rPr>
                <w:rFonts w:ascii="Arial Narrow" w:hAnsi="Arial Narrow"/>
                <w:noProof/>
                <w:webHidden/>
              </w:rPr>
              <w:fldChar w:fldCharType="end"/>
            </w:r>
          </w:hyperlink>
        </w:p>
        <w:p w14:paraId="6D47056C" w14:textId="609CF0E2"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7" w:history="1">
            <w:r w:rsidRPr="00461F9F">
              <w:rPr>
                <w:rStyle w:val="Hyperlien"/>
                <w:rFonts w:ascii="Arial Narrow" w:hAnsi="Arial Narrow"/>
                <w:noProof/>
              </w:rPr>
              <w:t>5.</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Conclusion</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_Toc215406207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6</w:t>
            </w:r>
            <w:r w:rsidRPr="00461F9F">
              <w:rPr>
                <w:rFonts w:ascii="Arial Narrow" w:hAnsi="Arial Narrow"/>
                <w:noProof/>
                <w:webHidden/>
              </w:rPr>
              <w:fldChar w:fldCharType="end"/>
            </w:r>
          </w:hyperlink>
        </w:p>
        <w:p w14:paraId="58A7F7BE" w14:textId="3487C588" w:rsidR="00C6517B" w:rsidRPr="00461F9F" w:rsidRDefault="00C6517B" w:rsidP="004535F2">
          <w:pPr>
            <w:pStyle w:val="TM2"/>
            <w:tabs>
              <w:tab w:val="left" w:pos="660"/>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8" w:history="1">
            <w:r w:rsidRPr="00461F9F">
              <w:rPr>
                <w:rStyle w:val="Hyperlien"/>
                <w:rFonts w:ascii="Arial Narrow" w:hAnsi="Arial Narrow"/>
                <w:noProof/>
              </w:rPr>
              <w:t>6.</w:t>
            </w:r>
            <w:r w:rsidRPr="00461F9F">
              <w:rPr>
                <w:rFonts w:ascii="Arial Narrow" w:eastAsiaTheme="minorEastAsia" w:hAnsi="Arial Narrow" w:cstheme="minorBidi"/>
                <w:b w:val="0"/>
                <w:bCs w:val="0"/>
                <w:noProof/>
                <w:kern w:val="2"/>
                <w:sz w:val="24"/>
                <w:szCs w:val="24"/>
                <w14:ligatures w14:val="standardContextual"/>
              </w:rPr>
              <w:tab/>
            </w:r>
            <w:r w:rsidRPr="00461F9F">
              <w:rPr>
                <w:rStyle w:val="Hyperlien"/>
                <w:rFonts w:ascii="Arial Narrow" w:hAnsi="Arial Narrow"/>
                <w:noProof/>
              </w:rPr>
              <w:t>Recommandations</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_Toc215406208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7</w:t>
            </w:r>
            <w:r w:rsidRPr="00461F9F">
              <w:rPr>
                <w:rFonts w:ascii="Arial Narrow" w:hAnsi="Arial Narrow"/>
                <w:noProof/>
                <w:webHidden/>
              </w:rPr>
              <w:fldChar w:fldCharType="end"/>
            </w:r>
          </w:hyperlink>
        </w:p>
        <w:p w14:paraId="3ED82970" w14:textId="59D5EB7D" w:rsidR="00C6517B" w:rsidRPr="00461F9F" w:rsidRDefault="00C6517B" w:rsidP="004535F2">
          <w:pPr>
            <w:pStyle w:val="TM2"/>
            <w:tabs>
              <w:tab w:val="right" w:leader="underscore" w:pos="9396"/>
            </w:tabs>
            <w:ind w:left="0"/>
            <w:rPr>
              <w:rFonts w:ascii="Arial Narrow" w:eastAsiaTheme="minorEastAsia" w:hAnsi="Arial Narrow" w:cstheme="minorBidi"/>
              <w:b w:val="0"/>
              <w:bCs w:val="0"/>
              <w:noProof/>
              <w:kern w:val="2"/>
              <w:sz w:val="24"/>
              <w:szCs w:val="24"/>
              <w14:ligatures w14:val="standardContextual"/>
            </w:rPr>
          </w:pPr>
          <w:hyperlink w:anchor="_Toc215406209" w:history="1">
            <w:r w:rsidRPr="00461F9F">
              <w:rPr>
                <w:rStyle w:val="Hyperlien"/>
                <w:rFonts w:ascii="Arial Narrow" w:hAnsi="Arial Narrow"/>
                <w:noProof/>
              </w:rPr>
              <w:t>Annexe : La Table des regroupements provinciaux d'organismes communautaires et bénévoles et de ses membres - présentation détaillée</w:t>
            </w:r>
            <w:r w:rsidRPr="00461F9F">
              <w:rPr>
                <w:rFonts w:ascii="Arial Narrow" w:hAnsi="Arial Narrow"/>
                <w:noProof/>
                <w:webHidden/>
              </w:rPr>
              <w:tab/>
            </w:r>
            <w:r w:rsidRPr="00461F9F">
              <w:rPr>
                <w:rFonts w:ascii="Arial Narrow" w:hAnsi="Arial Narrow"/>
                <w:noProof/>
                <w:webHidden/>
              </w:rPr>
              <w:fldChar w:fldCharType="begin"/>
            </w:r>
            <w:r w:rsidRPr="00461F9F">
              <w:rPr>
                <w:rFonts w:ascii="Arial Narrow" w:hAnsi="Arial Narrow"/>
                <w:noProof/>
                <w:webHidden/>
              </w:rPr>
              <w:instrText xml:space="preserve"> PAGEREF _Toc215406209 \h </w:instrText>
            </w:r>
            <w:r w:rsidRPr="00461F9F">
              <w:rPr>
                <w:rFonts w:ascii="Arial Narrow" w:hAnsi="Arial Narrow"/>
                <w:noProof/>
                <w:webHidden/>
              </w:rPr>
            </w:r>
            <w:r w:rsidRPr="00461F9F">
              <w:rPr>
                <w:rFonts w:ascii="Arial Narrow" w:hAnsi="Arial Narrow"/>
                <w:noProof/>
                <w:webHidden/>
              </w:rPr>
              <w:fldChar w:fldCharType="separate"/>
            </w:r>
            <w:r w:rsidR="00172054">
              <w:rPr>
                <w:rFonts w:ascii="Arial Narrow" w:hAnsi="Arial Narrow"/>
                <w:noProof/>
                <w:webHidden/>
              </w:rPr>
              <w:t>8</w:t>
            </w:r>
            <w:r w:rsidRPr="00461F9F">
              <w:rPr>
                <w:rFonts w:ascii="Arial Narrow" w:hAnsi="Arial Narrow"/>
                <w:noProof/>
                <w:webHidden/>
              </w:rPr>
              <w:fldChar w:fldCharType="end"/>
            </w:r>
          </w:hyperlink>
        </w:p>
        <w:p w14:paraId="7A96283F" w14:textId="05BA795E" w:rsidR="00673E52" w:rsidRPr="00461F9F" w:rsidRDefault="003A4BD5" w:rsidP="004535F2">
          <w:pPr>
            <w:rPr>
              <w:rFonts w:ascii="Arial Narrow" w:hAnsi="Arial Narrow"/>
            </w:rPr>
          </w:pPr>
          <w:r w:rsidRPr="00461F9F">
            <w:rPr>
              <w:rFonts w:ascii="Arial Narrow" w:hAnsi="Arial Narrow"/>
              <w:b/>
              <w:bCs/>
            </w:rPr>
            <w:fldChar w:fldCharType="end"/>
          </w:r>
        </w:p>
      </w:sdtContent>
    </w:sdt>
    <w:p w14:paraId="6DCB5A77" w14:textId="77777777" w:rsidR="0020062A" w:rsidRPr="00461F9F" w:rsidRDefault="0020062A" w:rsidP="004535F2">
      <w:pPr>
        <w:spacing w:before="100" w:beforeAutospacing="1" w:after="100" w:afterAutospacing="1" w:line="240" w:lineRule="auto"/>
        <w:jc w:val="both"/>
        <w:rPr>
          <w:rFonts w:ascii="Arial Narrow" w:hAnsi="Arial Narrow"/>
          <w:b/>
          <w:bCs/>
          <w:sz w:val="24"/>
          <w:szCs w:val="24"/>
        </w:rPr>
      </w:pPr>
    </w:p>
    <w:p w14:paraId="485501E7" w14:textId="77777777" w:rsidR="00E101FA" w:rsidRPr="00461F9F" w:rsidRDefault="00E101FA" w:rsidP="004535F2">
      <w:pPr>
        <w:spacing w:before="100" w:beforeAutospacing="1" w:after="100" w:afterAutospacing="1" w:line="240" w:lineRule="auto"/>
        <w:jc w:val="both"/>
        <w:rPr>
          <w:rFonts w:ascii="Arial Narrow" w:hAnsi="Arial Narrow"/>
          <w:b/>
          <w:bCs/>
          <w:sz w:val="24"/>
          <w:szCs w:val="24"/>
        </w:rPr>
      </w:pPr>
    </w:p>
    <w:p w14:paraId="7282F392" w14:textId="77777777" w:rsidR="00E101FA" w:rsidRPr="00461F9F" w:rsidRDefault="00E101FA" w:rsidP="004535F2">
      <w:pPr>
        <w:spacing w:before="100" w:beforeAutospacing="1" w:after="100" w:afterAutospacing="1" w:line="240" w:lineRule="auto"/>
        <w:jc w:val="both"/>
        <w:rPr>
          <w:rFonts w:ascii="Arial Narrow" w:hAnsi="Arial Narrow"/>
          <w:b/>
          <w:bCs/>
          <w:sz w:val="24"/>
          <w:szCs w:val="24"/>
        </w:rPr>
      </w:pPr>
    </w:p>
    <w:p w14:paraId="039F8F78" w14:textId="77777777" w:rsidR="00E101FA" w:rsidRPr="00461F9F" w:rsidRDefault="00E101FA" w:rsidP="004535F2">
      <w:pPr>
        <w:spacing w:before="100" w:beforeAutospacing="1" w:after="100" w:afterAutospacing="1" w:line="240" w:lineRule="auto"/>
        <w:jc w:val="both"/>
        <w:rPr>
          <w:rFonts w:ascii="Arial Narrow" w:hAnsi="Arial Narrow"/>
          <w:b/>
          <w:bCs/>
          <w:sz w:val="24"/>
          <w:szCs w:val="24"/>
        </w:rPr>
      </w:pPr>
    </w:p>
    <w:p w14:paraId="59513AFA" w14:textId="77777777" w:rsidR="00E101FA" w:rsidRPr="00461F9F" w:rsidRDefault="00E101FA" w:rsidP="004535F2">
      <w:pPr>
        <w:spacing w:before="100" w:beforeAutospacing="1" w:after="100" w:afterAutospacing="1" w:line="240" w:lineRule="auto"/>
        <w:jc w:val="both"/>
        <w:rPr>
          <w:rFonts w:ascii="Arial Narrow" w:hAnsi="Arial Narrow"/>
          <w:b/>
          <w:bCs/>
          <w:sz w:val="24"/>
          <w:szCs w:val="24"/>
        </w:rPr>
      </w:pPr>
    </w:p>
    <w:p w14:paraId="54A34B05" w14:textId="77777777" w:rsidR="00E101FA" w:rsidRPr="00461F9F" w:rsidRDefault="00E101FA" w:rsidP="004535F2">
      <w:pPr>
        <w:spacing w:before="100" w:beforeAutospacing="1" w:after="100" w:afterAutospacing="1" w:line="240" w:lineRule="auto"/>
        <w:jc w:val="both"/>
        <w:rPr>
          <w:rFonts w:ascii="Arial Narrow" w:hAnsi="Arial Narrow"/>
          <w:b/>
          <w:bCs/>
          <w:sz w:val="24"/>
          <w:szCs w:val="24"/>
        </w:rPr>
      </w:pPr>
    </w:p>
    <w:p w14:paraId="013C0AD7" w14:textId="77777777" w:rsidR="0020062A" w:rsidRPr="00461F9F" w:rsidRDefault="0020062A" w:rsidP="004535F2">
      <w:pPr>
        <w:spacing w:before="100" w:beforeAutospacing="1" w:after="100" w:afterAutospacing="1" w:line="240" w:lineRule="auto"/>
        <w:jc w:val="both"/>
        <w:rPr>
          <w:rFonts w:ascii="Arial Narrow" w:hAnsi="Arial Narrow"/>
          <w:b/>
          <w:bCs/>
          <w:sz w:val="24"/>
          <w:szCs w:val="24"/>
        </w:rPr>
      </w:pPr>
    </w:p>
    <w:p w14:paraId="692F6407" w14:textId="77777777" w:rsidR="0020062A" w:rsidRPr="00461F9F" w:rsidRDefault="0020062A" w:rsidP="004535F2">
      <w:pPr>
        <w:spacing w:before="100" w:beforeAutospacing="1" w:after="100" w:afterAutospacing="1" w:line="240" w:lineRule="auto"/>
        <w:jc w:val="both"/>
        <w:rPr>
          <w:rFonts w:ascii="Arial Narrow" w:hAnsi="Arial Narrow"/>
          <w:b/>
          <w:bCs/>
          <w:sz w:val="24"/>
          <w:szCs w:val="24"/>
        </w:rPr>
      </w:pPr>
    </w:p>
    <w:p w14:paraId="5A1D62D8" w14:textId="77777777" w:rsidR="0020062A" w:rsidRPr="00461F9F" w:rsidRDefault="0020062A" w:rsidP="004535F2">
      <w:pPr>
        <w:pStyle w:val="Normalpuces"/>
        <w:tabs>
          <w:tab w:val="clear" w:pos="284"/>
        </w:tabs>
        <w:spacing w:before="100" w:beforeAutospacing="1" w:after="100" w:afterAutospacing="1"/>
        <w:rPr>
          <w:b/>
          <w:color w:val="365F91" w:themeColor="accent1" w:themeShade="BF"/>
          <w:sz w:val="28"/>
          <w:szCs w:val="28"/>
        </w:rPr>
      </w:pPr>
      <w:r w:rsidRPr="00461F9F">
        <w:rPr>
          <w:b/>
          <w:color w:val="365F91" w:themeColor="accent1" w:themeShade="BF"/>
          <w:sz w:val="28"/>
          <w:szCs w:val="28"/>
        </w:rPr>
        <w:t xml:space="preserve">Crédits </w:t>
      </w:r>
    </w:p>
    <w:p w14:paraId="3465CD70" w14:textId="77777777" w:rsidR="0020062A" w:rsidRPr="00461F9F" w:rsidRDefault="0020062A" w:rsidP="004535F2">
      <w:pPr>
        <w:spacing w:before="100" w:beforeAutospacing="1" w:after="100" w:afterAutospacing="1" w:line="240" w:lineRule="auto"/>
        <w:jc w:val="both"/>
        <w:rPr>
          <w:rFonts w:ascii="Arial Narrow" w:hAnsi="Arial Narrow"/>
          <w:sz w:val="24"/>
        </w:rPr>
      </w:pPr>
      <w:r w:rsidRPr="00461F9F">
        <w:rPr>
          <w:rFonts w:ascii="Arial Narrow" w:hAnsi="Arial Narrow"/>
          <w:sz w:val="24"/>
        </w:rPr>
        <w:t>Rédaction pour le conseil d’administration de la Table des regroupements provinciaux d’organismes communautaires et bénévoles : Mercédez Roberge, coordonnatrice.</w:t>
      </w:r>
    </w:p>
    <w:p w14:paraId="40871AC7" w14:textId="77777777" w:rsidR="0020062A" w:rsidRPr="00461F9F" w:rsidRDefault="0020062A" w:rsidP="004535F2">
      <w:pPr>
        <w:spacing w:before="100" w:beforeAutospacing="1" w:after="100" w:afterAutospacing="1" w:line="240" w:lineRule="auto"/>
        <w:jc w:val="both"/>
        <w:rPr>
          <w:rFonts w:ascii="Arial Narrow" w:hAnsi="Arial Narrow"/>
          <w:sz w:val="24"/>
        </w:rPr>
      </w:pPr>
    </w:p>
    <w:p w14:paraId="1E11C199" w14:textId="77789D17" w:rsidR="00C4444E" w:rsidRPr="00461F9F" w:rsidRDefault="00C4444E" w:rsidP="004535F2">
      <w:pPr>
        <w:spacing w:before="100" w:beforeAutospacing="1" w:after="100" w:afterAutospacing="1" w:line="240" w:lineRule="auto"/>
        <w:jc w:val="both"/>
        <w:rPr>
          <w:rFonts w:ascii="Arial Narrow" w:hAnsi="Arial Narrow"/>
          <w:b/>
          <w:bCs/>
          <w:sz w:val="24"/>
          <w:szCs w:val="24"/>
        </w:rPr>
      </w:pPr>
      <w:r w:rsidRPr="00461F9F">
        <w:rPr>
          <w:rFonts w:ascii="Arial Narrow" w:hAnsi="Arial Narrow"/>
          <w:b/>
          <w:bCs/>
          <w:sz w:val="24"/>
          <w:szCs w:val="24"/>
        </w:rPr>
        <w:br w:type="page"/>
      </w:r>
    </w:p>
    <w:p w14:paraId="2A3CCBD9" w14:textId="77777777" w:rsidR="00C4444E" w:rsidRPr="00461F9F" w:rsidRDefault="00C4444E" w:rsidP="004535F2">
      <w:pPr>
        <w:pStyle w:val="Titre2"/>
        <w:rPr>
          <w:rFonts w:ascii="Arial Narrow" w:hAnsi="Arial Narrow"/>
          <w:b/>
          <w:bCs/>
          <w:color w:val="365F91" w:themeColor="accent1" w:themeShade="BF"/>
        </w:rPr>
      </w:pPr>
      <w:bookmarkStart w:id="0" w:name="_Toc199879131"/>
      <w:bookmarkStart w:id="1" w:name="_Toc214640693"/>
      <w:bookmarkStart w:id="2" w:name="_Toc215406202"/>
      <w:r w:rsidRPr="00461F9F">
        <w:rPr>
          <w:rFonts w:ascii="Arial Narrow" w:hAnsi="Arial Narrow"/>
          <w:b/>
          <w:bCs/>
          <w:color w:val="365F91" w:themeColor="accent1" w:themeShade="BF"/>
        </w:rPr>
        <w:lastRenderedPageBreak/>
        <w:t>À propos</w:t>
      </w:r>
      <w:bookmarkEnd w:id="0"/>
      <w:r w:rsidRPr="00461F9F">
        <w:rPr>
          <w:rFonts w:ascii="Arial Narrow" w:hAnsi="Arial Narrow"/>
          <w:b/>
          <w:bCs/>
          <w:color w:val="365F91" w:themeColor="accent1" w:themeShade="BF"/>
        </w:rPr>
        <w:t xml:space="preserve"> de la Table des regroupements provinciaux d’organismes communautaires et bénévoles</w:t>
      </w:r>
      <w:bookmarkEnd w:id="1"/>
      <w:bookmarkEnd w:id="2"/>
      <w:r w:rsidRPr="00461F9F">
        <w:rPr>
          <w:rFonts w:ascii="Arial Narrow" w:hAnsi="Arial Narrow"/>
          <w:b/>
          <w:bCs/>
          <w:color w:val="365F91" w:themeColor="accent1" w:themeShade="BF"/>
        </w:rPr>
        <w:t xml:space="preserve"> </w:t>
      </w:r>
    </w:p>
    <w:p w14:paraId="7964FF52" w14:textId="77777777" w:rsidR="00C4444E" w:rsidRPr="00461F9F" w:rsidRDefault="00C4444E" w:rsidP="004535F2">
      <w:pPr>
        <w:spacing w:before="100" w:beforeAutospacing="1" w:after="100" w:afterAutospacing="1" w:line="240" w:lineRule="auto"/>
        <w:jc w:val="both"/>
        <w:rPr>
          <w:rFonts w:ascii="Arial Narrow" w:hAnsi="Arial Narrow"/>
          <w:sz w:val="24"/>
        </w:rPr>
      </w:pPr>
      <w:r w:rsidRPr="00461F9F">
        <w:rPr>
          <w:rFonts w:ascii="Arial Narrow" w:hAnsi="Arial Narrow"/>
          <w:sz w:val="24"/>
        </w:rPr>
        <w:t xml:space="preserve">En 2025, la </w:t>
      </w:r>
      <w:bookmarkStart w:id="3" w:name="_Hlk214639008"/>
      <w:r w:rsidRPr="00461F9F">
        <w:rPr>
          <w:rFonts w:ascii="Arial Narrow" w:hAnsi="Arial Narrow"/>
          <w:sz w:val="24"/>
        </w:rPr>
        <w:fldChar w:fldCharType="begin"/>
      </w:r>
      <w:r w:rsidRPr="00461F9F">
        <w:rPr>
          <w:rFonts w:ascii="Arial Narrow" w:hAnsi="Arial Narrow"/>
          <w:sz w:val="24"/>
        </w:rPr>
        <w:instrText>HYPERLINK "http://trpocb.org/"</w:instrText>
      </w:r>
      <w:r w:rsidRPr="00461F9F">
        <w:rPr>
          <w:rFonts w:ascii="Arial Narrow" w:hAnsi="Arial Narrow"/>
          <w:sz w:val="24"/>
        </w:rPr>
      </w:r>
      <w:r w:rsidRPr="00461F9F">
        <w:rPr>
          <w:rFonts w:ascii="Arial Narrow" w:hAnsi="Arial Narrow"/>
          <w:sz w:val="24"/>
        </w:rPr>
        <w:fldChar w:fldCharType="separate"/>
      </w:r>
      <w:r w:rsidRPr="00461F9F">
        <w:rPr>
          <w:rStyle w:val="Hyperlien"/>
          <w:rFonts w:ascii="Arial Narrow" w:hAnsi="Arial Narrow"/>
          <w:sz w:val="24"/>
        </w:rPr>
        <w:t>Table des regroupements provinciaux d’organismes communautaires et bénévoles</w:t>
      </w:r>
      <w:r w:rsidRPr="00461F9F">
        <w:rPr>
          <w:rFonts w:ascii="Arial Narrow" w:hAnsi="Arial Narrow"/>
          <w:sz w:val="24"/>
        </w:rPr>
        <w:fldChar w:fldCharType="end"/>
      </w:r>
      <w:bookmarkEnd w:id="3"/>
      <w:r w:rsidRPr="00461F9F">
        <w:rPr>
          <w:rFonts w:ascii="Arial Narrow" w:hAnsi="Arial Narrow"/>
          <w:sz w:val="24"/>
        </w:rPr>
        <w:t xml:space="preserve"> (TRPOCB) est formée de </w:t>
      </w:r>
      <w:hyperlink r:id="rId14" w:history="1">
        <w:r w:rsidRPr="00461F9F">
          <w:rPr>
            <w:rStyle w:val="Hyperlien"/>
            <w:rFonts w:ascii="Arial Narrow" w:hAnsi="Arial Narrow"/>
            <w:sz w:val="24"/>
          </w:rPr>
          <w:t>47 regroupements nationaux</w:t>
        </w:r>
      </w:hyperlink>
      <w:r w:rsidRPr="00461F9F">
        <w:rPr>
          <w:rFonts w:ascii="Arial Narrow" w:hAnsi="Arial Narrow"/>
          <w:sz w:val="24"/>
        </w:rPr>
        <w:t>, rejoignant plus de 3</w:t>
      </w:r>
      <w:r w:rsidRPr="00461F9F">
        <w:rPr>
          <w:sz w:val="24"/>
        </w:rPr>
        <w:t> </w:t>
      </w:r>
      <w:r w:rsidRPr="00461F9F">
        <w:rPr>
          <w:rFonts w:ascii="Arial Narrow" w:hAnsi="Arial Narrow"/>
          <w:sz w:val="24"/>
        </w:rPr>
        <w:t xml:space="preserve">000 </w:t>
      </w:r>
      <w:r w:rsidRPr="00461F9F">
        <w:rPr>
          <w:rFonts w:ascii="Arial Narrow" w:eastAsia="Arial Narrow" w:hAnsi="Arial Narrow" w:cs="Arial Narrow"/>
          <w:color w:val="000000"/>
          <w:sz w:val="24"/>
          <w:szCs w:val="24"/>
        </w:rPr>
        <w:t xml:space="preserve">organismes communautaires autonomes du domaine de la santé et des services sociaux (OCASSS) </w:t>
      </w:r>
      <w:r w:rsidRPr="00461F9F">
        <w:rPr>
          <w:rFonts w:ascii="Arial Narrow" w:hAnsi="Arial Narrow"/>
          <w:sz w:val="24"/>
        </w:rPr>
        <w:t xml:space="preserve">à travers le Québec. Ce sont, par exemple, des maisons de jeunes, des centres de femmes, des cuisines collectives, des maisons d’hébergement, des groupes d’entraide, des centres communautaires, des groupes qui luttent contre des injustices </w:t>
      </w:r>
      <w:proofErr w:type="gramStart"/>
      <w:r w:rsidRPr="00461F9F">
        <w:rPr>
          <w:rFonts w:ascii="Arial Narrow" w:hAnsi="Arial Narrow"/>
          <w:sz w:val="24"/>
        </w:rPr>
        <w:t>ayant</w:t>
      </w:r>
      <w:proofErr w:type="gramEnd"/>
      <w:r w:rsidRPr="00461F9F">
        <w:rPr>
          <w:rFonts w:ascii="Arial Narrow" w:hAnsi="Arial Narrow"/>
          <w:sz w:val="24"/>
        </w:rPr>
        <w:t xml:space="preserve"> des répercussions sur la santé. Ceux-ci représentent les ¾ des organismes communautaires autonomes du Québec. Ceux-ci abordent la santé et les services sociaux sous différentes perspectives (femmes, jeunes, hébergement, famille, personnes handicapées, communautés ethnoculturelles, sécurité alimentaire, santé mentale, violence, périnatalité, toxicomanie, etc.). </w:t>
      </w:r>
    </w:p>
    <w:p w14:paraId="32A3F589" w14:textId="18F33073" w:rsidR="00C4444E" w:rsidRPr="00461F9F" w:rsidRDefault="00C4444E" w:rsidP="004535F2">
      <w:pPr>
        <w:spacing w:before="100" w:beforeAutospacing="1" w:after="100" w:afterAutospacing="1" w:line="240" w:lineRule="auto"/>
        <w:jc w:val="both"/>
        <w:rPr>
          <w:rFonts w:ascii="Arial Narrow" w:hAnsi="Arial Narrow"/>
          <w:sz w:val="24"/>
        </w:rPr>
      </w:pPr>
      <w:r w:rsidRPr="00461F9F">
        <w:rPr>
          <w:rFonts w:ascii="Arial Narrow" w:eastAsia="Arial Narrow" w:hAnsi="Arial Narrow"/>
          <w:color w:val="000000"/>
          <w:sz w:val="24"/>
        </w:rPr>
        <w:t xml:space="preserve">Interlocutrice nationale du ministère de la Santé et des Services sociaux, la Table collabore fréquemment à tous travaux nécessitant son apport. Ainsi, elle intervient régulièrement sur différents enjeux, dont celui du </w:t>
      </w:r>
      <w:r w:rsidRPr="00461F9F">
        <w:rPr>
          <w:rFonts w:ascii="Arial Narrow" w:hAnsi="Arial Narrow"/>
          <w:sz w:val="24"/>
        </w:rPr>
        <w:t>fonctionnement</w:t>
      </w:r>
      <w:r w:rsidRPr="00461F9F">
        <w:rPr>
          <w:rFonts w:ascii="Arial Narrow" w:eastAsia="Arial Narrow" w:hAnsi="Arial Narrow"/>
          <w:color w:val="000000"/>
          <w:sz w:val="24"/>
        </w:rPr>
        <w:t xml:space="preserve"> du Programme de soutien aux organismes communautaires (PSOC), et ce, tant auprès des ministres responsables que des fonctionnaires. </w:t>
      </w:r>
      <w:r w:rsidRPr="00461F9F">
        <w:rPr>
          <w:rFonts w:ascii="Arial Narrow" w:hAnsi="Arial Narrow"/>
          <w:sz w:val="24"/>
        </w:rPr>
        <w:t>(Une présentation détaillée est fournie en annexe.)</w:t>
      </w:r>
    </w:p>
    <w:p w14:paraId="01612DB7" w14:textId="79441BDC" w:rsidR="00C4444E" w:rsidRPr="00461F9F" w:rsidRDefault="00C4444E" w:rsidP="0070633F">
      <w:pPr>
        <w:spacing w:before="100" w:beforeAutospacing="1" w:after="100" w:afterAutospacing="1" w:line="240" w:lineRule="auto"/>
        <w:jc w:val="both"/>
        <w:rPr>
          <w:rFonts w:ascii="Arial Narrow" w:eastAsia="Times New Roman" w:hAnsi="Arial Narrow"/>
          <w:i/>
          <w:sz w:val="24"/>
        </w:rPr>
      </w:pPr>
      <w:r w:rsidRPr="00461F9F">
        <w:rPr>
          <w:rFonts w:ascii="Arial Narrow" w:hAnsi="Arial Narrow"/>
          <w:sz w:val="24"/>
        </w:rPr>
        <w:t xml:space="preserve">La Table coordonne de plus la </w:t>
      </w:r>
      <w:hyperlink r:id="rId15" w:history="1">
        <w:r w:rsidRPr="00461F9F">
          <w:rPr>
            <w:rStyle w:val="Hyperlien"/>
            <w:rFonts w:ascii="Arial Narrow" w:hAnsi="Arial Narrow"/>
            <w:sz w:val="24"/>
          </w:rPr>
          <w:t xml:space="preserve">Campagne </w:t>
        </w:r>
        <w:r w:rsidRPr="00461F9F">
          <w:rPr>
            <w:rStyle w:val="Hyperlien"/>
            <w:rFonts w:ascii="Arial Narrow" w:hAnsi="Arial Narrow"/>
            <w:i/>
            <w:iCs/>
            <w:sz w:val="24"/>
          </w:rPr>
          <w:t>CA$$$H</w:t>
        </w:r>
        <w:r w:rsidRPr="00461F9F">
          <w:rPr>
            <w:rStyle w:val="Hyperlien"/>
            <w:rFonts w:ascii="Arial Narrow" w:hAnsi="Arial Narrow"/>
            <w:sz w:val="24"/>
          </w:rPr>
          <w:t xml:space="preserve"> (Communautaire autonome en santé et services sociaux — Haussez le financement</w:t>
        </w:r>
      </w:hyperlink>
      <w:r w:rsidRPr="00461F9F">
        <w:rPr>
          <w:rFonts w:ascii="Arial Narrow" w:hAnsi="Arial Narrow"/>
          <w:sz w:val="24"/>
        </w:rPr>
        <w:t>). Lancée le 17 octobre 2017, cette campagne vise l’amélioration substantielle du Programme de soutien aux organismes communautaires (PSOC) du ministère de la Santé et des Services sociaux (MSSS), au bénéfice de plus de 3</w:t>
      </w:r>
      <w:r w:rsidRPr="00461F9F">
        <w:rPr>
          <w:sz w:val="24"/>
        </w:rPr>
        <w:t> </w:t>
      </w:r>
      <w:r w:rsidRPr="00461F9F">
        <w:rPr>
          <w:rFonts w:ascii="Arial Narrow" w:hAnsi="Arial Narrow"/>
          <w:sz w:val="24"/>
        </w:rPr>
        <w:t xml:space="preserve">000 organismes communautaires autonomes subventionnés par le MSSS. </w:t>
      </w:r>
      <w:r w:rsidRPr="00461F9F">
        <w:rPr>
          <w:rFonts w:ascii="Arial Narrow" w:eastAsia="Times New Roman" w:hAnsi="Arial Narrow"/>
          <w:sz w:val="24"/>
        </w:rPr>
        <w:t>Les revendications de la campagne</w:t>
      </w:r>
      <w:r w:rsidRPr="00461F9F">
        <w:rPr>
          <w:rFonts w:ascii="Arial Narrow" w:eastAsia="Times New Roman" w:hAnsi="Arial Narrow"/>
          <w:i/>
          <w:iCs/>
          <w:sz w:val="24"/>
        </w:rPr>
        <w:t xml:space="preserve"> CA$$$H</w:t>
      </w:r>
      <w:r w:rsidRPr="00461F9F">
        <w:rPr>
          <w:rFonts w:ascii="Arial Narrow" w:eastAsia="Times New Roman" w:hAnsi="Arial Narrow"/>
          <w:sz w:val="24"/>
        </w:rPr>
        <w:t xml:space="preserve"> sont :</w:t>
      </w:r>
    </w:p>
    <w:p w14:paraId="08236D92" w14:textId="77777777" w:rsidR="00C4444E" w:rsidRPr="00461F9F" w:rsidRDefault="00C4444E" w:rsidP="0070633F">
      <w:pPr>
        <w:numPr>
          <w:ilvl w:val="0"/>
          <w:numId w:val="4"/>
        </w:numPr>
        <w:tabs>
          <w:tab w:val="left" w:pos="3261"/>
        </w:tabs>
        <w:spacing w:line="240" w:lineRule="auto"/>
        <w:ind w:left="3261" w:hanging="284"/>
        <w:jc w:val="both"/>
        <w:rPr>
          <w:rFonts w:ascii="Arial Narrow" w:eastAsia="Times New Roman" w:hAnsi="Arial Narrow"/>
          <w:sz w:val="24"/>
        </w:rPr>
      </w:pPr>
      <w:r w:rsidRPr="00461F9F">
        <w:rPr>
          <w:rFonts w:ascii="Arial Narrow" w:hAnsi="Arial Narrow"/>
          <w:noProof/>
          <w:sz w:val="24"/>
        </w:rPr>
        <w:drawing>
          <wp:anchor distT="0" distB="0" distL="114300" distR="114300" simplePos="0" relativeHeight="251658240" behindDoc="0" locked="0" layoutInCell="1" allowOverlap="1" wp14:anchorId="533A6E30" wp14:editId="32BF7132">
            <wp:simplePos x="0" y="0"/>
            <wp:positionH relativeFrom="margin">
              <wp:align>left</wp:align>
            </wp:positionH>
            <wp:positionV relativeFrom="paragraph">
              <wp:posOffset>139065</wp:posOffset>
            </wp:positionV>
            <wp:extent cx="1724660" cy="1141730"/>
            <wp:effectExtent l="0" t="0" r="8890" b="1270"/>
            <wp:wrapSquare wrapText="bothSides"/>
            <wp:docPr id="1474190187" name="Image 3"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0187" name="Image 3" descr="Une image contenant texte, Police, capture d’écran, logo&#10;&#10;Description générée automatiquement"/>
                    <pic:cNvPicPr/>
                  </pic:nvPicPr>
                  <pic:blipFill rotWithShape="1">
                    <a:blip r:embed="rId16">
                      <a:extLst>
                        <a:ext uri="{28A0092B-C50C-407E-A947-70E740481C1C}">
                          <a14:useLocalDpi xmlns:a14="http://schemas.microsoft.com/office/drawing/2010/main" val="0"/>
                        </a:ext>
                      </a:extLst>
                    </a:blip>
                    <a:srcRect l="5134" t="6167" r="7176" b="3186"/>
                    <a:stretch/>
                  </pic:blipFill>
                  <pic:spPr bwMode="auto">
                    <a:xfrm>
                      <a:off x="0" y="0"/>
                      <a:ext cx="1728672" cy="1144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1F9F">
        <w:rPr>
          <w:rFonts w:ascii="Arial Narrow" w:eastAsia="Times New Roman" w:hAnsi="Arial Narrow"/>
          <w:sz w:val="24"/>
        </w:rPr>
        <w:t>L’augmentation du financement à la mission des groupes communautaires en santé et services sociaux : 1,7 GM$ de plus sont nécessaires annuellement pour couvrir les besoins de 3</w:t>
      </w:r>
      <w:r w:rsidRPr="00461F9F">
        <w:rPr>
          <w:rFonts w:eastAsia="Times New Roman"/>
          <w:sz w:val="24"/>
        </w:rPr>
        <w:t> </w:t>
      </w:r>
      <w:r w:rsidRPr="00461F9F">
        <w:rPr>
          <w:rFonts w:ascii="Arial Narrow" w:eastAsia="Times New Roman" w:hAnsi="Arial Narrow"/>
          <w:sz w:val="24"/>
        </w:rPr>
        <w:t>000</w:t>
      </w:r>
      <w:r w:rsidRPr="00461F9F">
        <w:rPr>
          <w:rFonts w:ascii="Arial Narrow" w:eastAsia="Times New Roman" w:hAnsi="Arial Narrow" w:cs="Aptos"/>
          <w:sz w:val="24"/>
        </w:rPr>
        <w:t xml:space="preserve"> </w:t>
      </w:r>
      <w:r w:rsidRPr="00461F9F">
        <w:rPr>
          <w:rFonts w:ascii="Arial Narrow" w:eastAsia="Times New Roman" w:hAnsi="Arial Narrow"/>
          <w:sz w:val="24"/>
        </w:rPr>
        <w:t xml:space="preserve">OCASSS. </w:t>
      </w:r>
    </w:p>
    <w:p w14:paraId="522F3455" w14:textId="77777777" w:rsidR="00C4444E" w:rsidRPr="00461F9F" w:rsidRDefault="00C4444E" w:rsidP="0070633F">
      <w:pPr>
        <w:numPr>
          <w:ilvl w:val="0"/>
          <w:numId w:val="4"/>
        </w:numPr>
        <w:tabs>
          <w:tab w:val="left" w:pos="3261"/>
        </w:tabs>
        <w:spacing w:line="240" w:lineRule="auto"/>
        <w:ind w:left="3261" w:hanging="284"/>
        <w:jc w:val="both"/>
        <w:rPr>
          <w:rFonts w:ascii="Arial Narrow" w:eastAsia="Times New Roman" w:hAnsi="Arial Narrow"/>
          <w:sz w:val="24"/>
        </w:rPr>
      </w:pPr>
      <w:r w:rsidRPr="00461F9F">
        <w:rPr>
          <w:rFonts w:ascii="Arial Narrow" w:eastAsia="Times New Roman" w:hAnsi="Arial Narrow"/>
          <w:sz w:val="24"/>
        </w:rPr>
        <w:t>L’indexation des subventions selon l’Indice des coûts de fonctionnement du communautaire (ICFC).</w:t>
      </w:r>
    </w:p>
    <w:p w14:paraId="55EC7A05" w14:textId="4AC2C66C" w:rsidR="00F01602" w:rsidRPr="00461F9F" w:rsidRDefault="00C4444E" w:rsidP="0070633F">
      <w:pPr>
        <w:numPr>
          <w:ilvl w:val="0"/>
          <w:numId w:val="4"/>
        </w:numPr>
        <w:tabs>
          <w:tab w:val="left" w:pos="3261"/>
        </w:tabs>
        <w:spacing w:line="240" w:lineRule="auto"/>
        <w:ind w:left="3261" w:hanging="284"/>
        <w:jc w:val="both"/>
        <w:rPr>
          <w:rFonts w:ascii="Arial Narrow" w:hAnsi="Arial Narrow"/>
          <w:sz w:val="24"/>
        </w:rPr>
      </w:pPr>
      <w:r w:rsidRPr="00461F9F">
        <w:rPr>
          <w:rFonts w:ascii="Arial Narrow" w:eastAsia="Times New Roman" w:hAnsi="Arial Narrow"/>
          <w:sz w:val="24"/>
        </w:rPr>
        <w:t>L’équité dans le financement et le traitement des groupes, notamment par l’application de seuils planchers communs, adaptés aux OCASSS.</w:t>
      </w:r>
    </w:p>
    <w:p w14:paraId="79628378" w14:textId="03BF1DF2" w:rsidR="006516BD" w:rsidRPr="00461F9F" w:rsidRDefault="00C4444E" w:rsidP="00F01602">
      <w:pPr>
        <w:spacing w:before="100" w:beforeAutospacing="1" w:after="100" w:afterAutospacing="1" w:line="240" w:lineRule="auto"/>
        <w:jc w:val="both"/>
        <w:rPr>
          <w:rFonts w:ascii="Arial Narrow" w:hAnsi="Arial Narrow"/>
          <w:b/>
          <w:bCs/>
          <w:sz w:val="24"/>
          <w:szCs w:val="24"/>
        </w:rPr>
      </w:pPr>
      <w:r w:rsidRPr="00461F9F">
        <w:rPr>
          <w:rFonts w:ascii="Arial Narrow" w:hAnsi="Arial Narrow"/>
          <w:sz w:val="24"/>
        </w:rPr>
        <w:t xml:space="preserve">Les revendications de la campagne </w:t>
      </w:r>
      <w:r w:rsidRPr="00461F9F">
        <w:rPr>
          <w:rFonts w:ascii="Arial Narrow" w:hAnsi="Arial Narrow"/>
          <w:i/>
          <w:iCs/>
          <w:sz w:val="24"/>
        </w:rPr>
        <w:t>CA$$$H</w:t>
      </w:r>
      <w:r w:rsidRPr="00461F9F">
        <w:rPr>
          <w:rFonts w:ascii="Arial Narrow" w:hAnsi="Arial Narrow"/>
          <w:sz w:val="24"/>
        </w:rPr>
        <w:t xml:space="preserve"> font partie de celles portées, pour l’ensemble du mouvement de l’action communautaire autonome (ACA), par le </w:t>
      </w:r>
      <w:hyperlink r:id="rId17" w:history="1">
        <w:r w:rsidRPr="00461F9F">
          <w:rPr>
            <w:rStyle w:val="Hyperlien"/>
            <w:rFonts w:ascii="Arial Narrow" w:hAnsi="Arial Narrow"/>
            <w:sz w:val="24"/>
          </w:rPr>
          <w:t>Réseau québécois de l’action communautaire autonome (RQ-ACA)</w:t>
        </w:r>
      </w:hyperlink>
      <w:r w:rsidRPr="00461F9F">
        <w:rPr>
          <w:rFonts w:ascii="Arial Narrow" w:hAnsi="Arial Narrow"/>
          <w:sz w:val="24"/>
        </w:rPr>
        <w:t>. Celui-ci demande que le gouvernement investisse 2,6 G$</w:t>
      </w:r>
      <w:r w:rsidRPr="00461F9F">
        <w:rPr>
          <w:rStyle w:val="Appelnotedebasdep"/>
          <w:rFonts w:ascii="Arial Narrow" w:hAnsi="Arial Narrow"/>
          <w:sz w:val="24"/>
        </w:rPr>
        <w:footnoteReference w:id="1"/>
      </w:r>
      <w:r w:rsidRPr="00461F9F">
        <w:rPr>
          <w:rFonts w:ascii="Arial Narrow" w:hAnsi="Arial Narrow"/>
          <w:sz w:val="24"/>
        </w:rPr>
        <w:t xml:space="preserve"> dans les programmes de financement à la mission des 4</w:t>
      </w:r>
      <w:r w:rsidRPr="00461F9F">
        <w:rPr>
          <w:sz w:val="24"/>
        </w:rPr>
        <w:t> </w:t>
      </w:r>
      <w:r w:rsidRPr="00461F9F">
        <w:rPr>
          <w:rFonts w:ascii="Arial Narrow" w:hAnsi="Arial Narrow"/>
          <w:sz w:val="24"/>
        </w:rPr>
        <w:t xml:space="preserve">500 groupes d’ACA. Cet investissement supplémentaire doit notamment leur permettre de se doter d’une équipe de travail d’au moins 7 postes. Le RQ-ACA revendique également un réinvestissement dans les services publics et les programmes sociaux, ainsi que l’indexation annuelle des subventions </w:t>
      </w:r>
      <w:r w:rsidRPr="00461F9F">
        <w:rPr>
          <w:rFonts w:ascii="Arial Narrow" w:eastAsia="Times New Roman" w:hAnsi="Arial Narrow"/>
          <w:sz w:val="24"/>
        </w:rPr>
        <w:t>selon l’Indice des coûts de fonctionnement du communautaire tel qu’élaboré par la Table des regroupements provinciaux d’organismes communautaires et bénévoles. (ICFC).</w:t>
      </w:r>
      <w:r w:rsidR="006516BD" w:rsidRPr="00461F9F">
        <w:rPr>
          <w:rFonts w:ascii="Arial Narrow" w:hAnsi="Arial Narrow"/>
          <w:b/>
          <w:bCs/>
          <w:sz w:val="24"/>
          <w:szCs w:val="24"/>
        </w:rPr>
        <w:br w:type="page"/>
      </w:r>
    </w:p>
    <w:p w14:paraId="508F3BAC" w14:textId="77777777" w:rsidR="006516BD" w:rsidRPr="00461F9F" w:rsidRDefault="006516BD"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4" w:name="_Toc215406203"/>
      <w:r w:rsidRPr="00461F9F">
        <w:rPr>
          <w:rFonts w:ascii="Arial Narrow" w:hAnsi="Arial Narrow"/>
          <w:b/>
          <w:bCs/>
          <w:color w:val="365F91" w:themeColor="accent1" w:themeShade="BF"/>
        </w:rPr>
        <w:lastRenderedPageBreak/>
        <w:t>Le projet de loi no 7 est immense et il en va ainsi de ses conséquences</w:t>
      </w:r>
      <w:bookmarkEnd w:id="4"/>
    </w:p>
    <w:p w14:paraId="21F123EE" w14:textId="77777777" w:rsidR="006516BD" w:rsidRPr="00461F9F" w:rsidRDefault="006516BD" w:rsidP="004535F2">
      <w:pPr>
        <w:spacing w:before="240" w:after="240"/>
        <w:rPr>
          <w:rFonts w:ascii="Arial Narrow" w:hAnsi="Arial Narrow"/>
          <w:sz w:val="24"/>
          <w:szCs w:val="24"/>
        </w:rPr>
      </w:pPr>
      <w:r w:rsidRPr="00461F9F">
        <w:rPr>
          <w:rFonts w:ascii="Arial Narrow" w:hAnsi="Arial Narrow"/>
          <w:sz w:val="24"/>
          <w:szCs w:val="24"/>
        </w:rPr>
        <w:t>Répartis sur 100 pages, les 384 articles du projet de loi no 7 modifient ou abrogent 118 lois, règlements et décrets. Alors que son ampleur nécessiterait qu’il soit étudié avec beaucoup d’attention, la Commission des Finances publiques ne tient qu’une vingtaine d’auditions, durant 4 journées se tenant à peine trois semaines après sa présentation à l’Assemblée nationale.</w:t>
      </w:r>
    </w:p>
    <w:p w14:paraId="01517270" w14:textId="0AFAA5B4" w:rsidR="00710D2A" w:rsidRPr="00461F9F" w:rsidRDefault="006516BD" w:rsidP="004535F2">
      <w:pPr>
        <w:spacing w:before="240" w:after="240"/>
        <w:rPr>
          <w:rFonts w:ascii="Arial Narrow" w:hAnsi="Arial Narrow"/>
          <w:sz w:val="24"/>
          <w:szCs w:val="24"/>
        </w:rPr>
      </w:pPr>
      <w:r w:rsidRPr="00461F9F">
        <w:rPr>
          <w:rFonts w:ascii="Arial Narrow" w:hAnsi="Arial Narrow"/>
          <w:sz w:val="24"/>
          <w:szCs w:val="24"/>
        </w:rPr>
        <w:t>Ce processus ne peut</w:t>
      </w:r>
      <w:r w:rsidR="00FD682B" w:rsidRPr="00461F9F">
        <w:rPr>
          <w:rFonts w:ascii="Arial Narrow" w:hAnsi="Arial Narrow"/>
          <w:sz w:val="24"/>
          <w:szCs w:val="24"/>
        </w:rPr>
        <w:t xml:space="preserve"> </w:t>
      </w:r>
      <w:r w:rsidRPr="00461F9F">
        <w:rPr>
          <w:rFonts w:ascii="Arial Narrow" w:hAnsi="Arial Narrow"/>
          <w:sz w:val="24"/>
          <w:szCs w:val="24"/>
        </w:rPr>
        <w:t xml:space="preserve">être qualifié de démocratique. Les préoccupations qu’il soulève sont si variées qu’aucune organisation ne peut se prononcer sur sa globalité. </w:t>
      </w:r>
      <w:r w:rsidR="008F4AF6" w:rsidRPr="00461F9F">
        <w:rPr>
          <w:rFonts w:ascii="Arial Narrow" w:hAnsi="Arial Narrow"/>
          <w:sz w:val="24"/>
          <w:szCs w:val="24"/>
        </w:rPr>
        <w:t>Cette manière de gouverner n’est pas acceptable</w:t>
      </w:r>
      <w:r w:rsidR="00C82B62" w:rsidRPr="00461F9F">
        <w:rPr>
          <w:rFonts w:ascii="Arial Narrow" w:hAnsi="Arial Narrow"/>
          <w:sz w:val="24"/>
          <w:szCs w:val="24"/>
        </w:rPr>
        <w:t>,</w:t>
      </w:r>
      <w:r w:rsidR="00805C06" w:rsidRPr="00461F9F">
        <w:rPr>
          <w:rFonts w:ascii="Arial Narrow" w:hAnsi="Arial Narrow"/>
          <w:sz w:val="24"/>
          <w:szCs w:val="24"/>
        </w:rPr>
        <w:t xml:space="preserve"> d’autant plus que l’analyse différenciée selon les sexes dans une perspective intersectionnelle (ADS+) n’a manifestement pas été menée. </w:t>
      </w:r>
      <w:r w:rsidR="00C82B62" w:rsidRPr="00461F9F">
        <w:rPr>
          <w:rFonts w:ascii="Arial Narrow" w:hAnsi="Arial Narrow"/>
          <w:sz w:val="24"/>
          <w:szCs w:val="24"/>
        </w:rPr>
        <w:t xml:space="preserve">Rappelons que le </w:t>
      </w:r>
      <w:r w:rsidR="00805C06" w:rsidRPr="00461F9F">
        <w:rPr>
          <w:rFonts w:ascii="Arial Narrow" w:hAnsi="Arial Narrow"/>
          <w:sz w:val="24"/>
          <w:szCs w:val="24"/>
        </w:rPr>
        <w:t>gouv</w:t>
      </w:r>
      <w:r w:rsidR="002E06DE" w:rsidRPr="00461F9F">
        <w:rPr>
          <w:rFonts w:ascii="Arial Narrow" w:hAnsi="Arial Narrow"/>
          <w:sz w:val="24"/>
          <w:szCs w:val="24"/>
        </w:rPr>
        <w:t xml:space="preserve">ernement </w:t>
      </w:r>
      <w:r w:rsidR="00466F08" w:rsidRPr="00461F9F">
        <w:rPr>
          <w:rFonts w:ascii="Arial Narrow" w:hAnsi="Arial Narrow"/>
          <w:sz w:val="24"/>
          <w:szCs w:val="24"/>
        </w:rPr>
        <w:t>a</w:t>
      </w:r>
      <w:r w:rsidR="00710D2A" w:rsidRPr="00461F9F">
        <w:rPr>
          <w:rFonts w:ascii="Arial Narrow" w:hAnsi="Arial Narrow"/>
          <w:sz w:val="24"/>
          <w:szCs w:val="24"/>
        </w:rPr>
        <w:t xml:space="preserve"> récemment</w:t>
      </w:r>
      <w:r w:rsidR="00466F08" w:rsidRPr="00461F9F">
        <w:rPr>
          <w:rFonts w:ascii="Arial Narrow" w:hAnsi="Arial Narrow"/>
          <w:sz w:val="24"/>
          <w:szCs w:val="24"/>
        </w:rPr>
        <w:t xml:space="preserve"> réitéré son engagement </w:t>
      </w:r>
      <w:r w:rsidR="002E06DE" w:rsidRPr="00461F9F">
        <w:rPr>
          <w:rFonts w:ascii="Arial Narrow" w:hAnsi="Arial Narrow"/>
          <w:sz w:val="24"/>
          <w:szCs w:val="24"/>
        </w:rPr>
        <w:t>à effectuer une telle analyse</w:t>
      </w:r>
      <w:r w:rsidR="00466F08" w:rsidRPr="00461F9F">
        <w:rPr>
          <w:rFonts w:ascii="Arial Narrow" w:hAnsi="Arial Narrow"/>
          <w:sz w:val="24"/>
          <w:szCs w:val="24"/>
        </w:rPr>
        <w:t xml:space="preserve"> en l’inscrivant dans la </w:t>
      </w:r>
      <w:r w:rsidR="00466F08" w:rsidRPr="00461F9F">
        <w:rPr>
          <w:rFonts w:ascii="Arial Narrow" w:hAnsi="Arial Narrow"/>
          <w:i/>
          <w:iCs/>
          <w:sz w:val="24"/>
          <w:szCs w:val="24"/>
        </w:rPr>
        <w:t>Stratégie gouvernementale pour l’égalité entre les femmes et les hommes</w:t>
      </w:r>
      <w:r w:rsidR="00710D2A" w:rsidRPr="00461F9F">
        <w:rPr>
          <w:rFonts w:ascii="Arial Narrow" w:hAnsi="Arial Narrow"/>
          <w:i/>
          <w:iCs/>
          <w:sz w:val="24"/>
          <w:szCs w:val="24"/>
        </w:rPr>
        <w:t xml:space="preserve"> </w:t>
      </w:r>
      <w:r w:rsidR="00466F08" w:rsidRPr="00461F9F">
        <w:rPr>
          <w:rFonts w:ascii="Arial Narrow" w:hAnsi="Arial Narrow"/>
          <w:i/>
          <w:iCs/>
          <w:sz w:val="24"/>
          <w:szCs w:val="24"/>
        </w:rPr>
        <w:t>2022-2027</w:t>
      </w:r>
      <w:r w:rsidR="00710D2A" w:rsidRPr="00461F9F">
        <w:rPr>
          <w:rFonts w:ascii="Arial Narrow" w:hAnsi="Arial Narrow"/>
          <w:sz w:val="24"/>
          <w:szCs w:val="24"/>
        </w:rPr>
        <w:t>.</w:t>
      </w:r>
    </w:p>
    <w:p w14:paraId="34AB2B07" w14:textId="68B37BF6" w:rsidR="00B10D5D" w:rsidRPr="00461F9F" w:rsidRDefault="006516BD" w:rsidP="004535F2">
      <w:pPr>
        <w:spacing w:before="240" w:after="240"/>
        <w:rPr>
          <w:rFonts w:ascii="Arial Narrow" w:hAnsi="Arial Narrow"/>
          <w:sz w:val="24"/>
          <w:szCs w:val="24"/>
        </w:rPr>
      </w:pPr>
      <w:r w:rsidRPr="00461F9F">
        <w:rPr>
          <w:rFonts w:ascii="Arial Narrow" w:hAnsi="Arial Narrow"/>
          <w:sz w:val="24"/>
          <w:szCs w:val="24"/>
        </w:rPr>
        <w:t>En conséquence, la Table des regroupements provinciaux d’organismes communautaires et bénévoles ne peut que limiter son intervention à deux éléments</w:t>
      </w:r>
      <w:r w:rsidR="005A73B4" w:rsidRPr="00461F9F">
        <w:rPr>
          <w:rFonts w:ascii="Arial Narrow" w:hAnsi="Arial Narrow"/>
          <w:sz w:val="24"/>
          <w:szCs w:val="24"/>
        </w:rPr>
        <w:t xml:space="preserve"> ayant particulièrement retenu l’attention du mouvement d’action communautaire autonome</w:t>
      </w:r>
      <w:r w:rsidR="00B10D5D" w:rsidRPr="00461F9F">
        <w:rPr>
          <w:rFonts w:ascii="Arial Narrow" w:hAnsi="Arial Narrow"/>
          <w:sz w:val="24"/>
          <w:szCs w:val="24"/>
        </w:rPr>
        <w:t xml:space="preserve">. </w:t>
      </w:r>
    </w:p>
    <w:p w14:paraId="37E8E50A" w14:textId="728B4E2A" w:rsidR="008F4AF6" w:rsidRPr="00461F9F" w:rsidRDefault="005A73B4" w:rsidP="004535F2">
      <w:pPr>
        <w:spacing w:before="240" w:after="240"/>
        <w:rPr>
          <w:rFonts w:ascii="Arial Narrow" w:hAnsi="Arial Narrow"/>
          <w:sz w:val="24"/>
          <w:szCs w:val="24"/>
        </w:rPr>
      </w:pPr>
      <w:r w:rsidRPr="00461F9F">
        <w:rPr>
          <w:rFonts w:ascii="Arial Narrow" w:hAnsi="Arial Narrow"/>
          <w:sz w:val="24"/>
          <w:szCs w:val="24"/>
        </w:rPr>
        <w:t>Le présent mémoire se concentre donc sur deux</w:t>
      </w:r>
      <w:r w:rsidR="004E1D7F" w:rsidRPr="00461F9F">
        <w:rPr>
          <w:rFonts w:ascii="Arial Narrow" w:hAnsi="Arial Narrow"/>
          <w:sz w:val="24"/>
          <w:szCs w:val="24"/>
        </w:rPr>
        <w:t xml:space="preserve"> </w:t>
      </w:r>
      <w:r w:rsidR="00331F84" w:rsidRPr="00461F9F">
        <w:rPr>
          <w:rFonts w:ascii="Arial Narrow" w:hAnsi="Arial Narrow"/>
          <w:sz w:val="24"/>
          <w:szCs w:val="24"/>
        </w:rPr>
        <w:t>acquis sociaux</w:t>
      </w:r>
      <w:r w:rsidR="008F4AF6" w:rsidRPr="00461F9F">
        <w:rPr>
          <w:rFonts w:ascii="Arial Narrow" w:hAnsi="Arial Narrow"/>
          <w:sz w:val="24"/>
          <w:szCs w:val="24"/>
        </w:rPr>
        <w:t xml:space="preserve"> mis en péril par </w:t>
      </w:r>
      <w:r w:rsidR="00331F84" w:rsidRPr="00461F9F">
        <w:rPr>
          <w:rFonts w:ascii="Arial Narrow" w:hAnsi="Arial Narrow"/>
          <w:sz w:val="24"/>
          <w:szCs w:val="24"/>
        </w:rPr>
        <w:t>les fusions proposées</w:t>
      </w:r>
      <w:r w:rsidR="00507664" w:rsidRPr="00461F9F">
        <w:rPr>
          <w:rFonts w:ascii="Arial Narrow" w:hAnsi="Arial Narrow"/>
          <w:sz w:val="24"/>
          <w:szCs w:val="24"/>
        </w:rPr>
        <w:t>; c</w:t>
      </w:r>
      <w:r w:rsidR="00861F82" w:rsidRPr="00461F9F">
        <w:rPr>
          <w:rFonts w:ascii="Arial Narrow" w:hAnsi="Arial Narrow"/>
          <w:sz w:val="24"/>
          <w:szCs w:val="24"/>
        </w:rPr>
        <w:t xml:space="preserve">es choix </w:t>
      </w:r>
      <w:r w:rsidR="000A3999" w:rsidRPr="00461F9F">
        <w:rPr>
          <w:rFonts w:ascii="Arial Narrow" w:hAnsi="Arial Narrow"/>
          <w:sz w:val="24"/>
          <w:szCs w:val="24"/>
        </w:rPr>
        <w:t xml:space="preserve">ne </w:t>
      </w:r>
      <w:r w:rsidR="00B10D5D" w:rsidRPr="00461F9F">
        <w:rPr>
          <w:rFonts w:ascii="Arial Narrow" w:hAnsi="Arial Narrow"/>
          <w:sz w:val="24"/>
          <w:szCs w:val="24"/>
        </w:rPr>
        <w:t>signifie</w:t>
      </w:r>
      <w:r w:rsidR="00861F82" w:rsidRPr="00461F9F">
        <w:rPr>
          <w:rFonts w:ascii="Arial Narrow" w:hAnsi="Arial Narrow"/>
          <w:sz w:val="24"/>
          <w:szCs w:val="24"/>
        </w:rPr>
        <w:t>nt</w:t>
      </w:r>
      <w:r w:rsidR="00B10D5D" w:rsidRPr="00461F9F">
        <w:rPr>
          <w:rFonts w:ascii="Arial Narrow" w:hAnsi="Arial Narrow"/>
          <w:sz w:val="24"/>
          <w:szCs w:val="24"/>
        </w:rPr>
        <w:t xml:space="preserve"> aucunement un appui aux autres modifications proposées par le projet de loi</w:t>
      </w:r>
      <w:r w:rsidR="00A118FA" w:rsidRPr="00461F9F">
        <w:rPr>
          <w:rFonts w:ascii="Arial Narrow" w:hAnsi="Arial Narrow"/>
          <w:sz w:val="24"/>
          <w:szCs w:val="24"/>
        </w:rPr>
        <w:t xml:space="preserve"> no7</w:t>
      </w:r>
      <w:r w:rsidR="00507664" w:rsidRPr="00461F9F">
        <w:rPr>
          <w:rFonts w:ascii="Arial Narrow" w:hAnsi="Arial Narrow"/>
          <w:sz w:val="24"/>
          <w:szCs w:val="24"/>
        </w:rPr>
        <w:t>.</w:t>
      </w:r>
    </w:p>
    <w:p w14:paraId="5FE0372A" w14:textId="56EC15C8" w:rsidR="008831B5" w:rsidRPr="00461F9F" w:rsidRDefault="00803A60"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5" w:name="_Toc215406204"/>
      <w:r w:rsidRPr="00461F9F">
        <w:rPr>
          <w:rFonts w:ascii="Arial Narrow" w:hAnsi="Arial Narrow"/>
          <w:b/>
          <w:bCs/>
          <w:color w:val="365F91" w:themeColor="accent1" w:themeShade="BF"/>
        </w:rPr>
        <w:t>Le Fonds d'aide à l'action communautaire autonome (FAACA) est bien plus qu'un</w:t>
      </w:r>
      <w:r w:rsidR="00C81544" w:rsidRPr="00461F9F">
        <w:rPr>
          <w:rFonts w:ascii="Arial Narrow" w:hAnsi="Arial Narrow"/>
          <w:b/>
          <w:bCs/>
          <w:color w:val="365F91" w:themeColor="accent1" w:themeShade="BF"/>
        </w:rPr>
        <w:t>e</w:t>
      </w:r>
      <w:r w:rsidRPr="00461F9F">
        <w:rPr>
          <w:rFonts w:ascii="Arial Narrow" w:hAnsi="Arial Narrow"/>
          <w:b/>
          <w:bCs/>
          <w:color w:val="365F91" w:themeColor="accent1" w:themeShade="BF"/>
        </w:rPr>
        <w:t xml:space="preserve"> simple source de financement</w:t>
      </w:r>
      <w:bookmarkEnd w:id="5"/>
    </w:p>
    <w:p w14:paraId="1A0DC850" w14:textId="77777777" w:rsidR="000D3892" w:rsidRPr="00461F9F" w:rsidRDefault="0013207B" w:rsidP="004535F2">
      <w:pPr>
        <w:spacing w:before="240" w:after="240"/>
        <w:rPr>
          <w:rFonts w:ascii="Arial Narrow" w:hAnsi="Arial Narrow"/>
          <w:sz w:val="24"/>
          <w:szCs w:val="24"/>
        </w:rPr>
      </w:pPr>
      <w:r w:rsidRPr="00461F9F">
        <w:rPr>
          <w:rFonts w:ascii="Arial Narrow" w:hAnsi="Arial Narrow"/>
          <w:sz w:val="24"/>
          <w:szCs w:val="24"/>
        </w:rPr>
        <w:t>L</w:t>
      </w:r>
      <w:r w:rsidR="00C226E0" w:rsidRPr="00461F9F">
        <w:rPr>
          <w:rFonts w:ascii="Arial Narrow" w:hAnsi="Arial Narrow"/>
          <w:sz w:val="24"/>
          <w:szCs w:val="24"/>
        </w:rPr>
        <w:t xml:space="preserve">a </w:t>
      </w:r>
      <w:r w:rsidR="00287C61" w:rsidRPr="00461F9F">
        <w:rPr>
          <w:rFonts w:ascii="Arial Narrow" w:hAnsi="Arial Narrow"/>
          <w:sz w:val="24"/>
          <w:szCs w:val="24"/>
        </w:rPr>
        <w:t xml:space="preserve">Table des regroupements provinciaux d’organismes communautaires et bénévoles </w:t>
      </w:r>
      <w:r w:rsidRPr="00461F9F">
        <w:rPr>
          <w:rFonts w:ascii="Arial Narrow" w:hAnsi="Arial Narrow"/>
          <w:sz w:val="24"/>
          <w:szCs w:val="24"/>
        </w:rPr>
        <w:t>exprime s</w:t>
      </w:r>
      <w:r w:rsidR="00877A97" w:rsidRPr="00461F9F">
        <w:rPr>
          <w:rFonts w:ascii="Arial Narrow" w:hAnsi="Arial Narrow"/>
          <w:sz w:val="24"/>
          <w:szCs w:val="24"/>
        </w:rPr>
        <w:t xml:space="preserve">a vive </w:t>
      </w:r>
      <w:r w:rsidRPr="00461F9F">
        <w:rPr>
          <w:rFonts w:ascii="Arial Narrow" w:hAnsi="Arial Narrow"/>
          <w:sz w:val="24"/>
          <w:szCs w:val="24"/>
        </w:rPr>
        <w:t xml:space="preserve">opposition à la fusion du Fonds d'aide à l'action communautaire autonome (FAACA) avec le Fonds québécois d'initiatives sociales (FQIS), prévue par le chapitre IV (titre II) du Projet de loi n° 7. </w:t>
      </w:r>
    </w:p>
    <w:p w14:paraId="7962839A" w14:textId="487258D8" w:rsidR="00F907F3" w:rsidRPr="00461F9F" w:rsidRDefault="00877A97" w:rsidP="004535F2">
      <w:pPr>
        <w:spacing w:before="240" w:after="240"/>
        <w:rPr>
          <w:rFonts w:ascii="Arial Narrow" w:hAnsi="Arial Narrow"/>
          <w:sz w:val="24"/>
          <w:szCs w:val="24"/>
        </w:rPr>
      </w:pPr>
      <w:r w:rsidRPr="00461F9F">
        <w:rPr>
          <w:rFonts w:ascii="Arial Narrow" w:hAnsi="Arial Narrow"/>
          <w:sz w:val="24"/>
          <w:szCs w:val="24"/>
        </w:rPr>
        <w:t xml:space="preserve">Le </w:t>
      </w:r>
      <w:r w:rsidR="00791934" w:rsidRPr="00461F9F">
        <w:rPr>
          <w:rFonts w:ascii="Arial Narrow" w:hAnsi="Arial Narrow"/>
          <w:sz w:val="24"/>
          <w:szCs w:val="24"/>
        </w:rPr>
        <w:t xml:space="preserve">Fonds d'aide à l'action communautaire autonome (FAACA) </w:t>
      </w:r>
      <w:r w:rsidRPr="00461F9F">
        <w:rPr>
          <w:rFonts w:ascii="Arial Narrow" w:hAnsi="Arial Narrow"/>
          <w:sz w:val="24"/>
          <w:szCs w:val="24"/>
        </w:rPr>
        <w:t>doit demeurer comme structure indépendante relevant de la loi du ministère du Conseil exécutif.</w:t>
      </w:r>
      <w:r w:rsidR="000D3892" w:rsidRPr="00461F9F">
        <w:rPr>
          <w:rFonts w:ascii="Arial Narrow" w:hAnsi="Arial Narrow"/>
          <w:sz w:val="24"/>
          <w:szCs w:val="24"/>
        </w:rPr>
        <w:t xml:space="preserve"> Sa fusion </w:t>
      </w:r>
      <w:r w:rsidRPr="00461F9F">
        <w:rPr>
          <w:rFonts w:ascii="Arial Narrow" w:hAnsi="Arial Narrow"/>
          <w:sz w:val="24"/>
          <w:szCs w:val="24"/>
        </w:rPr>
        <w:t xml:space="preserve">avec le Fonds québécois d’initiatives sociales (FQIS) soulève des enjeux majeurs pour l’avenir de l’action communautaire autonome (ACA) et, plus spécifiquement, pour la défense collective des droits. </w:t>
      </w:r>
    </w:p>
    <w:p w14:paraId="7962839B" w14:textId="3E3BA5E5" w:rsidR="00F907F3" w:rsidRPr="00461F9F" w:rsidRDefault="00FB52B1" w:rsidP="004535F2">
      <w:pPr>
        <w:shd w:val="clear" w:color="auto" w:fill="FFFFFF"/>
        <w:spacing w:before="200" w:after="200"/>
        <w:rPr>
          <w:rFonts w:ascii="Arial Narrow" w:hAnsi="Arial Narrow"/>
          <w:sz w:val="24"/>
          <w:szCs w:val="24"/>
        </w:rPr>
      </w:pPr>
      <w:r w:rsidRPr="00461F9F">
        <w:rPr>
          <w:rFonts w:ascii="Arial Narrow" w:hAnsi="Arial Narrow"/>
          <w:sz w:val="24"/>
          <w:szCs w:val="24"/>
        </w:rPr>
        <w:t>La fusion proposée compromet les fondements mêmes de la reconnaissance de l’action communautaire autonome, tels qu’établis dans la</w:t>
      </w:r>
      <w:r w:rsidR="00CF2732" w:rsidRPr="00461F9F">
        <w:rPr>
          <w:rFonts w:ascii="Arial Narrow" w:hAnsi="Arial Narrow"/>
          <w:sz w:val="24"/>
          <w:szCs w:val="24"/>
        </w:rPr>
        <w:t xml:space="preserve"> </w:t>
      </w:r>
      <w:hyperlink r:id="rId18" w:history="1">
        <w:r w:rsidR="00CF2732" w:rsidRPr="00461F9F">
          <w:rPr>
            <w:rStyle w:val="Hyperlien"/>
            <w:rFonts w:ascii="Arial Narrow" w:hAnsi="Arial Narrow"/>
            <w:i/>
            <w:iCs/>
            <w:sz w:val="24"/>
            <w:szCs w:val="24"/>
          </w:rPr>
          <w:t>Politique gouvernementale - L’action communautaire une contribution essentielle à l’exercice de la citoyenneté et au développement social du Québec</w:t>
        </w:r>
      </w:hyperlink>
      <w:r w:rsidR="00CF2732" w:rsidRPr="00461F9F">
        <w:rPr>
          <w:rFonts w:ascii="Arial Narrow" w:hAnsi="Arial Narrow"/>
        </w:rPr>
        <w:t xml:space="preserve"> </w:t>
      </w:r>
      <w:r w:rsidRPr="00461F9F">
        <w:rPr>
          <w:rFonts w:ascii="Arial Narrow" w:hAnsi="Arial Narrow"/>
          <w:sz w:val="24"/>
          <w:szCs w:val="24"/>
        </w:rPr>
        <w:t>(2001) et</w:t>
      </w:r>
      <w:r w:rsidR="00CF2732" w:rsidRPr="00461F9F">
        <w:rPr>
          <w:rFonts w:ascii="Arial Narrow" w:hAnsi="Arial Narrow"/>
          <w:sz w:val="24"/>
          <w:szCs w:val="24"/>
        </w:rPr>
        <w:t xml:space="preserve"> par</w:t>
      </w:r>
      <w:r w:rsidRPr="00461F9F">
        <w:rPr>
          <w:rFonts w:ascii="Arial Narrow" w:hAnsi="Arial Narrow"/>
          <w:sz w:val="24"/>
          <w:szCs w:val="24"/>
        </w:rPr>
        <w:t xml:space="preserve"> son Cadre de référence (2004), et compromet l’une des protections mise en place pour la défense collective des droits, l’autonomie et la transformation sociale. Il s’agit d’un dangereux précédent qui laisse craindre une multiplication des atteintes à l’autonomie pour l’ensemble des organismes communautaires.</w:t>
      </w:r>
    </w:p>
    <w:p w14:paraId="7962839C" w14:textId="77777777"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lastRenderedPageBreak/>
        <w:t>Le FAACA constitue une structure indépendante garantissant que les organismes d'action communautaire autonome dont la mission principale est la défense collective des droits puissent exercer leur rôle critique sans craindre de perdre leur financement. Il représente bien plus qu'une simple source de financement : il incarne la reconnaissance par l'État du rôle de contre-pouvoir des organismes d'action communautaire autonome, en particulier ceux dont la mission principale est la défense collective des droits. Il reconnaît que ce rôle est légitime et nécessaire à une démocratie saine.</w:t>
      </w:r>
    </w:p>
    <w:p w14:paraId="7962839D" w14:textId="3B691D46"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t xml:space="preserve">La fusion proposée constitue une menace directe à cette autonomie. En diluant le mandat spécifique du FAACA dans une structure plus large et en supprimant la garantie de neutralité institutionnelle, le gouvernement compromet la capacité des organismes d'action communautaire autonome à exercer leur rôle de « gardien » des droits humains et de la démocratie. </w:t>
      </w:r>
    </w:p>
    <w:p w14:paraId="7962839E" w14:textId="6B869602" w:rsidR="00F907F3" w:rsidRPr="00461F9F" w:rsidRDefault="001B4FBC"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6" w:name="_Toc215406205"/>
      <w:r w:rsidRPr="00461F9F">
        <w:rPr>
          <w:rFonts w:ascii="Arial Narrow" w:hAnsi="Arial Narrow"/>
          <w:b/>
          <w:bCs/>
          <w:color w:val="365F91" w:themeColor="accent1" w:themeShade="BF"/>
        </w:rPr>
        <w:t xml:space="preserve">La gestion </w:t>
      </w:r>
      <w:r w:rsidR="00992C1C" w:rsidRPr="00461F9F">
        <w:rPr>
          <w:rFonts w:ascii="Arial Narrow" w:hAnsi="Arial Narrow"/>
          <w:b/>
          <w:bCs/>
          <w:color w:val="365F91" w:themeColor="accent1" w:themeShade="BF"/>
        </w:rPr>
        <w:t xml:space="preserve">de l’État ne doit </w:t>
      </w:r>
      <w:r w:rsidR="00FF442C" w:rsidRPr="00461F9F">
        <w:rPr>
          <w:rFonts w:ascii="Arial Narrow" w:hAnsi="Arial Narrow"/>
          <w:b/>
          <w:bCs/>
          <w:color w:val="365F91" w:themeColor="accent1" w:themeShade="BF"/>
        </w:rPr>
        <w:t xml:space="preserve">pas </w:t>
      </w:r>
      <w:r w:rsidR="00A365E3" w:rsidRPr="00461F9F">
        <w:rPr>
          <w:rFonts w:ascii="Arial Narrow" w:hAnsi="Arial Narrow"/>
          <w:b/>
          <w:bCs/>
          <w:color w:val="365F91" w:themeColor="accent1" w:themeShade="BF"/>
        </w:rPr>
        <w:t>compromettre l’autonomie de l’action communautaire autonome</w:t>
      </w:r>
      <w:bookmarkEnd w:id="6"/>
    </w:p>
    <w:p w14:paraId="7962839F" w14:textId="77777777"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t>Le FAACA et le FQIS reposent sur des philosophies de gouvernance et des logiques de financement historiquement distinctes : le FAACA s’inscrit dans une approche fondée sur l’autonomie politique, le financement à la mission et la reconnaissance nationale, alors que le FQIS repose sur une logique d’initiatives ponctuelles, de projets cadrés par les priorités gouvernementales et d’une gestion régionale. Les réunir revient à fusionner deux visions contradictoires du rôle et de la place de l’action communautaire dans l’État.</w:t>
      </w:r>
    </w:p>
    <w:p w14:paraId="796283A0" w14:textId="5431491A"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t>La principale conséquence est la suppression de la neutralité institutionnelle qui garantit l’indépendance des organismes de défense collective des droits. Créé comme un fonds autonome ayant une distance critique par rapport aux ministères, le FAACA constitue un mécanisme prévu par la Politique</w:t>
      </w:r>
      <w:r w:rsidR="003F504A" w:rsidRPr="00461F9F">
        <w:rPr>
          <w:rFonts w:ascii="Arial Narrow" w:hAnsi="Arial Narrow"/>
          <w:sz w:val="24"/>
          <w:szCs w:val="24"/>
        </w:rPr>
        <w:t xml:space="preserve"> gouvernementale de 2001</w:t>
      </w:r>
      <w:r w:rsidRPr="00461F9F">
        <w:rPr>
          <w:rFonts w:ascii="Arial Narrow" w:hAnsi="Arial Narrow"/>
          <w:sz w:val="24"/>
          <w:szCs w:val="24"/>
        </w:rPr>
        <w:t xml:space="preserve"> pour éviter les conflits d’intérêts et protéger l’autonomie politique des organismes dont le rôle consiste parfois à contester les décisions gouvernementales. Son intégration dans le FQIS élimine cette garantie fondamentale, ce qui fragilise la capacité des organismes à défendre les droits sans pression structurelle ou politique.</w:t>
      </w:r>
    </w:p>
    <w:p w14:paraId="796283A1" w14:textId="59E7754C"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t>Le nouveau fonds proposé (FQISAC), rattaché à la</w:t>
      </w:r>
      <w:r w:rsidRPr="00461F9F">
        <w:rPr>
          <w:rFonts w:ascii="Arial Narrow" w:hAnsi="Arial Narrow"/>
          <w:i/>
          <w:iCs/>
          <w:sz w:val="24"/>
          <w:szCs w:val="24"/>
        </w:rPr>
        <w:t xml:space="preserve"> Loi visant à lutter contre la pauvreté et l’exclusion sociale</w:t>
      </w:r>
      <w:r w:rsidRPr="00461F9F">
        <w:rPr>
          <w:rFonts w:ascii="Arial Narrow" w:hAnsi="Arial Narrow"/>
          <w:sz w:val="24"/>
          <w:szCs w:val="24"/>
        </w:rPr>
        <w:t xml:space="preserve">, élargit son objet pour inclure l’action communautaire et même l’aide humanitaire internationale. Cette architecture institutionnelle dilue la mission spécifique de défense collective des droits, qui se retrouve noyée dans un ensemble d’objectifs plus larges liés à la lutte contre la pauvreté et aux initiatives sociales. Elle affaiblit également la reconnaissance accordée par la Politique </w:t>
      </w:r>
      <w:r w:rsidR="009E7CAE" w:rsidRPr="00461F9F">
        <w:rPr>
          <w:rFonts w:ascii="Arial Narrow" w:hAnsi="Arial Narrow"/>
          <w:sz w:val="24"/>
          <w:szCs w:val="24"/>
        </w:rPr>
        <w:t xml:space="preserve">gouvernementale </w:t>
      </w:r>
      <w:r w:rsidRPr="00461F9F">
        <w:rPr>
          <w:rFonts w:ascii="Arial Narrow" w:hAnsi="Arial Narrow"/>
          <w:sz w:val="24"/>
          <w:szCs w:val="24"/>
        </w:rPr>
        <w:t>de 2001 à la nécessité d’un mécanisme de financement distinct et protégé pour la défense collective des droits.</w:t>
      </w:r>
    </w:p>
    <w:p w14:paraId="796283A2" w14:textId="77777777"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t>Ce changement structurel porte atteinte au rôle de contre-pouvoir joué par les organismes communautaires autonomes. En démantelant la protection financière conçue pour soutenir leur fonction critique, la fusion menace leur capacité à agir comme acteurs de transformation sociale et à défendre les personnes marginalisées face aux rapports de pouvoir institutionnels.</w:t>
      </w:r>
    </w:p>
    <w:p w14:paraId="796283A3" w14:textId="77777777" w:rsidR="00F907F3" w:rsidRPr="00461F9F" w:rsidRDefault="00FB52B1" w:rsidP="004535F2">
      <w:pPr>
        <w:spacing w:before="240" w:after="240"/>
        <w:rPr>
          <w:rFonts w:ascii="Arial Narrow" w:hAnsi="Arial Narrow"/>
          <w:sz w:val="24"/>
          <w:szCs w:val="24"/>
        </w:rPr>
      </w:pPr>
      <w:r w:rsidRPr="00461F9F">
        <w:rPr>
          <w:rFonts w:ascii="Arial Narrow" w:hAnsi="Arial Narrow"/>
          <w:sz w:val="24"/>
          <w:szCs w:val="24"/>
        </w:rPr>
        <w:lastRenderedPageBreak/>
        <w:t xml:space="preserve">Justifier cette transformation au nom de l’efficacité administrative revient à subordonner l’autonomie politique de l’ACA à des impératifs bureaucratiques. Une telle approche banalise le caractère alternatif et transformateur de l’action communautaire autonome, dont la reconnaissance officielle risque d’être affaiblie au profit d’une vision gestionnaire et technocratique. </w:t>
      </w:r>
    </w:p>
    <w:p w14:paraId="6D542F8C" w14:textId="7B817C27" w:rsidR="009E7CAE" w:rsidRPr="00461F9F" w:rsidRDefault="00FB52B1" w:rsidP="004535F2">
      <w:pPr>
        <w:spacing w:before="240" w:after="240"/>
        <w:rPr>
          <w:rFonts w:ascii="Arial Narrow" w:hAnsi="Arial Narrow"/>
        </w:rPr>
      </w:pPr>
      <w:r w:rsidRPr="00461F9F">
        <w:rPr>
          <w:rFonts w:ascii="Arial Narrow" w:hAnsi="Arial Narrow"/>
          <w:sz w:val="24"/>
          <w:szCs w:val="24"/>
        </w:rPr>
        <w:t xml:space="preserve">Enfin, intégrer le FAACA dans le FQIS sera considéré, par le mouvement, comme une rupture de l’engagement gouvernemental envers sa </w:t>
      </w:r>
      <w:hyperlink r:id="rId19" w:history="1">
        <w:r w:rsidR="009E7CAE" w:rsidRPr="00461F9F">
          <w:rPr>
            <w:rStyle w:val="Hyperlien"/>
            <w:rFonts w:ascii="Arial Narrow" w:hAnsi="Arial Narrow"/>
            <w:i/>
            <w:iCs/>
            <w:sz w:val="24"/>
            <w:szCs w:val="24"/>
          </w:rPr>
          <w:t>Politique gouvernementale - L’action communautaire une contribution essentielle à l’exercice de la citoyenneté et au développement social du Québec</w:t>
        </w:r>
      </w:hyperlink>
      <w:r w:rsidR="009E7CAE" w:rsidRPr="00461F9F">
        <w:rPr>
          <w:rFonts w:ascii="Arial Narrow" w:hAnsi="Arial Narrow"/>
        </w:rPr>
        <w:t xml:space="preserve"> (2001).</w:t>
      </w:r>
    </w:p>
    <w:p w14:paraId="21E6D525" w14:textId="5FEE952B" w:rsidR="005B4075" w:rsidRPr="00461F9F" w:rsidRDefault="00002496"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7" w:name="_Toc215406206"/>
      <w:r w:rsidRPr="00461F9F">
        <w:rPr>
          <w:rFonts w:ascii="Arial Narrow" w:hAnsi="Arial Narrow"/>
          <w:b/>
          <w:bCs/>
          <w:color w:val="365F91" w:themeColor="accent1" w:themeShade="BF"/>
        </w:rPr>
        <w:t>D</w:t>
      </w:r>
      <w:r w:rsidR="005B4075" w:rsidRPr="00461F9F">
        <w:rPr>
          <w:rFonts w:ascii="Arial Narrow" w:hAnsi="Arial Narrow"/>
          <w:b/>
          <w:bCs/>
          <w:color w:val="365F91" w:themeColor="accent1" w:themeShade="BF"/>
        </w:rPr>
        <w:t>issolution</w:t>
      </w:r>
      <w:r w:rsidR="002B036E" w:rsidRPr="00461F9F">
        <w:rPr>
          <w:rFonts w:ascii="Arial Narrow" w:hAnsi="Arial Narrow"/>
          <w:b/>
          <w:bCs/>
          <w:color w:val="365F91" w:themeColor="accent1" w:themeShade="BF"/>
        </w:rPr>
        <w:t xml:space="preserve"> du</w:t>
      </w:r>
      <w:r w:rsidR="005B4075" w:rsidRPr="00461F9F">
        <w:rPr>
          <w:rFonts w:ascii="Arial Narrow" w:hAnsi="Arial Narrow"/>
          <w:b/>
          <w:bCs/>
          <w:color w:val="365F91" w:themeColor="accent1" w:themeShade="BF"/>
        </w:rPr>
        <w:t xml:space="preserve"> Conseil de gestion de l’assurance parentale</w:t>
      </w:r>
      <w:r w:rsidR="009A68CF" w:rsidRPr="00461F9F">
        <w:rPr>
          <w:rFonts w:ascii="Arial Narrow" w:hAnsi="Arial Narrow"/>
          <w:b/>
          <w:bCs/>
          <w:color w:val="365F91" w:themeColor="accent1" w:themeShade="BF"/>
        </w:rPr>
        <w:t xml:space="preserve"> </w:t>
      </w:r>
      <w:r w:rsidR="007422F4" w:rsidRPr="00461F9F">
        <w:rPr>
          <w:rFonts w:ascii="Arial Narrow" w:hAnsi="Arial Narrow"/>
          <w:b/>
          <w:bCs/>
          <w:color w:val="365F91" w:themeColor="accent1" w:themeShade="BF"/>
        </w:rPr>
        <w:t>et transfert des responsabilités du Régime québécois d’assurance parentale</w:t>
      </w:r>
      <w:r w:rsidRPr="00461F9F">
        <w:rPr>
          <w:rFonts w:ascii="Arial Narrow" w:hAnsi="Arial Narrow"/>
          <w:b/>
          <w:bCs/>
          <w:color w:val="365F91" w:themeColor="accent1" w:themeShade="BF"/>
        </w:rPr>
        <w:t> : un sens</w:t>
      </w:r>
      <w:r w:rsidR="003F467B" w:rsidRPr="00461F9F">
        <w:rPr>
          <w:rFonts w:ascii="Arial Narrow" w:hAnsi="Arial Narrow"/>
          <w:b/>
          <w:bCs/>
          <w:color w:val="365F91" w:themeColor="accent1" w:themeShade="BF"/>
        </w:rPr>
        <w:t xml:space="preserve"> </w:t>
      </w:r>
      <w:r w:rsidR="009B7911" w:rsidRPr="00461F9F">
        <w:rPr>
          <w:rFonts w:ascii="Arial Narrow" w:hAnsi="Arial Narrow"/>
          <w:b/>
          <w:bCs/>
          <w:color w:val="365F91" w:themeColor="accent1" w:themeShade="BF"/>
        </w:rPr>
        <w:t>dénaturé</w:t>
      </w:r>
      <w:bookmarkEnd w:id="7"/>
    </w:p>
    <w:p w14:paraId="42A124D8" w14:textId="70F6B9F0" w:rsidR="0067582C" w:rsidRPr="00461F9F" w:rsidRDefault="00205BF4" w:rsidP="004535F2">
      <w:pPr>
        <w:spacing w:before="240" w:after="240"/>
        <w:rPr>
          <w:rFonts w:ascii="Arial Narrow" w:hAnsi="Arial Narrow"/>
          <w:sz w:val="24"/>
          <w:szCs w:val="24"/>
        </w:rPr>
      </w:pPr>
      <w:r w:rsidRPr="00461F9F">
        <w:rPr>
          <w:rFonts w:ascii="Arial Narrow" w:hAnsi="Arial Narrow"/>
          <w:sz w:val="24"/>
          <w:szCs w:val="24"/>
        </w:rPr>
        <w:t xml:space="preserve">Parmi les nombreux changements </w:t>
      </w:r>
      <w:r w:rsidR="00261FD1" w:rsidRPr="00461F9F">
        <w:rPr>
          <w:rFonts w:ascii="Arial Narrow" w:hAnsi="Arial Narrow"/>
          <w:sz w:val="24"/>
          <w:szCs w:val="24"/>
        </w:rPr>
        <w:t xml:space="preserve">proposés par le </w:t>
      </w:r>
      <w:r w:rsidR="001D2879" w:rsidRPr="00461F9F">
        <w:rPr>
          <w:rFonts w:ascii="Arial Narrow" w:hAnsi="Arial Narrow"/>
          <w:sz w:val="24"/>
          <w:szCs w:val="24"/>
        </w:rPr>
        <w:t>projet de loi no 7</w:t>
      </w:r>
      <w:r w:rsidR="00261FD1" w:rsidRPr="00461F9F">
        <w:rPr>
          <w:rFonts w:ascii="Arial Narrow" w:hAnsi="Arial Narrow"/>
          <w:sz w:val="24"/>
          <w:szCs w:val="24"/>
        </w:rPr>
        <w:t xml:space="preserve">, </w:t>
      </w:r>
      <w:r w:rsidR="005B4075" w:rsidRPr="00461F9F">
        <w:rPr>
          <w:rFonts w:ascii="Arial Narrow" w:hAnsi="Arial Narrow"/>
          <w:sz w:val="24"/>
          <w:szCs w:val="24"/>
        </w:rPr>
        <w:t>l</w:t>
      </w:r>
      <w:r w:rsidR="001D2879" w:rsidRPr="00461F9F">
        <w:rPr>
          <w:rFonts w:ascii="Arial Narrow" w:hAnsi="Arial Narrow"/>
          <w:sz w:val="24"/>
          <w:szCs w:val="24"/>
        </w:rPr>
        <w:t xml:space="preserve">a dissolution du </w:t>
      </w:r>
      <w:r w:rsidR="007D10AC" w:rsidRPr="00461F9F">
        <w:rPr>
          <w:rFonts w:ascii="Arial Narrow" w:hAnsi="Arial Narrow"/>
          <w:sz w:val="24"/>
          <w:szCs w:val="24"/>
        </w:rPr>
        <w:t>Conseil de gestion de l’assurance parentale</w:t>
      </w:r>
      <w:r w:rsidR="005B4075" w:rsidRPr="00461F9F">
        <w:rPr>
          <w:rFonts w:ascii="Arial Narrow" w:hAnsi="Arial Narrow"/>
          <w:sz w:val="24"/>
          <w:szCs w:val="24"/>
        </w:rPr>
        <w:t xml:space="preserve"> (</w:t>
      </w:r>
      <w:r w:rsidR="001D2879" w:rsidRPr="00461F9F">
        <w:rPr>
          <w:rFonts w:ascii="Arial Narrow" w:hAnsi="Arial Narrow"/>
          <w:sz w:val="24"/>
          <w:szCs w:val="24"/>
        </w:rPr>
        <w:t>CGAP</w:t>
      </w:r>
      <w:r w:rsidR="005B4075" w:rsidRPr="00461F9F">
        <w:rPr>
          <w:rFonts w:ascii="Arial Narrow" w:hAnsi="Arial Narrow"/>
          <w:sz w:val="24"/>
          <w:szCs w:val="24"/>
        </w:rPr>
        <w:t xml:space="preserve">) </w:t>
      </w:r>
      <w:r w:rsidR="001D2879" w:rsidRPr="00461F9F">
        <w:rPr>
          <w:rFonts w:ascii="Arial Narrow" w:hAnsi="Arial Narrow"/>
          <w:sz w:val="24"/>
          <w:szCs w:val="24"/>
        </w:rPr>
        <w:t>et le transfert de l’ensemble des</w:t>
      </w:r>
      <w:r w:rsidR="0067582C" w:rsidRPr="00461F9F">
        <w:rPr>
          <w:rFonts w:ascii="Arial Narrow" w:hAnsi="Arial Narrow"/>
          <w:sz w:val="24"/>
          <w:szCs w:val="24"/>
        </w:rPr>
        <w:t xml:space="preserve"> </w:t>
      </w:r>
      <w:r w:rsidR="001D2879" w:rsidRPr="00461F9F">
        <w:rPr>
          <w:rFonts w:ascii="Arial Narrow" w:hAnsi="Arial Narrow"/>
          <w:sz w:val="24"/>
          <w:szCs w:val="24"/>
        </w:rPr>
        <w:t xml:space="preserve">responsabilités du </w:t>
      </w:r>
      <w:r w:rsidRPr="00461F9F">
        <w:rPr>
          <w:rFonts w:ascii="Arial Narrow" w:hAnsi="Arial Narrow"/>
          <w:sz w:val="24"/>
          <w:szCs w:val="24"/>
        </w:rPr>
        <w:t>Régime québécois d’assurance parentale (</w:t>
      </w:r>
      <w:r w:rsidR="001D2879" w:rsidRPr="00461F9F">
        <w:rPr>
          <w:rFonts w:ascii="Arial Narrow" w:hAnsi="Arial Narrow"/>
          <w:sz w:val="24"/>
          <w:szCs w:val="24"/>
        </w:rPr>
        <w:t>RQAP</w:t>
      </w:r>
      <w:r w:rsidRPr="00461F9F">
        <w:rPr>
          <w:rFonts w:ascii="Arial Narrow" w:hAnsi="Arial Narrow"/>
          <w:sz w:val="24"/>
          <w:szCs w:val="24"/>
        </w:rPr>
        <w:t>)</w:t>
      </w:r>
      <w:r w:rsidR="001D2879" w:rsidRPr="00461F9F">
        <w:rPr>
          <w:rFonts w:ascii="Arial Narrow" w:hAnsi="Arial Narrow"/>
          <w:sz w:val="24"/>
          <w:szCs w:val="24"/>
        </w:rPr>
        <w:t xml:space="preserve"> à Retraite Québec</w:t>
      </w:r>
      <w:r w:rsidR="00261FD1" w:rsidRPr="00461F9F">
        <w:rPr>
          <w:rFonts w:ascii="Arial Narrow" w:hAnsi="Arial Narrow"/>
          <w:sz w:val="24"/>
          <w:szCs w:val="24"/>
        </w:rPr>
        <w:t xml:space="preserve"> </w:t>
      </w:r>
      <w:r w:rsidR="003A62F3" w:rsidRPr="00461F9F">
        <w:rPr>
          <w:rFonts w:ascii="Arial Narrow" w:hAnsi="Arial Narrow"/>
          <w:sz w:val="24"/>
          <w:szCs w:val="24"/>
        </w:rPr>
        <w:t>sont</w:t>
      </w:r>
      <w:r w:rsidR="00AC320E" w:rsidRPr="00461F9F">
        <w:rPr>
          <w:rFonts w:ascii="Arial Narrow" w:hAnsi="Arial Narrow"/>
          <w:sz w:val="24"/>
          <w:szCs w:val="24"/>
        </w:rPr>
        <w:t xml:space="preserve"> très inquiétant</w:t>
      </w:r>
      <w:r w:rsidR="003A62F3" w:rsidRPr="00461F9F">
        <w:rPr>
          <w:rFonts w:ascii="Arial Narrow" w:hAnsi="Arial Narrow"/>
          <w:sz w:val="24"/>
          <w:szCs w:val="24"/>
        </w:rPr>
        <w:t>s</w:t>
      </w:r>
      <w:r w:rsidR="001D2879" w:rsidRPr="00461F9F">
        <w:rPr>
          <w:rFonts w:ascii="Arial Narrow" w:hAnsi="Arial Narrow"/>
          <w:sz w:val="24"/>
          <w:szCs w:val="24"/>
        </w:rPr>
        <w:t>.</w:t>
      </w:r>
    </w:p>
    <w:p w14:paraId="35164A35" w14:textId="4D1D1786" w:rsidR="00354934" w:rsidRPr="00461F9F" w:rsidRDefault="001D2879" w:rsidP="004535F2">
      <w:pPr>
        <w:spacing w:before="240" w:after="240"/>
        <w:rPr>
          <w:rFonts w:ascii="Arial Narrow" w:hAnsi="Arial Narrow"/>
          <w:sz w:val="24"/>
          <w:szCs w:val="24"/>
        </w:rPr>
      </w:pPr>
      <w:r w:rsidRPr="00461F9F">
        <w:rPr>
          <w:rFonts w:ascii="Arial Narrow" w:hAnsi="Arial Narrow"/>
          <w:sz w:val="24"/>
          <w:szCs w:val="24"/>
        </w:rPr>
        <w:t>Ce changement organisationnel ne doit pas être</w:t>
      </w:r>
      <w:r w:rsidR="0067582C" w:rsidRPr="00461F9F">
        <w:rPr>
          <w:rFonts w:ascii="Arial Narrow" w:hAnsi="Arial Narrow"/>
          <w:sz w:val="24"/>
          <w:szCs w:val="24"/>
        </w:rPr>
        <w:t xml:space="preserve"> </w:t>
      </w:r>
      <w:r w:rsidRPr="00461F9F">
        <w:rPr>
          <w:rFonts w:ascii="Arial Narrow" w:hAnsi="Arial Narrow"/>
          <w:sz w:val="24"/>
          <w:szCs w:val="24"/>
        </w:rPr>
        <w:t>analysé uniquement sous l’angle administratif</w:t>
      </w:r>
      <w:r w:rsidR="00665516" w:rsidRPr="00461F9F">
        <w:rPr>
          <w:rFonts w:ascii="Arial Narrow" w:hAnsi="Arial Narrow"/>
          <w:sz w:val="24"/>
          <w:szCs w:val="24"/>
        </w:rPr>
        <w:t xml:space="preserve"> et encore moins sur la base d’une économie potentielle</w:t>
      </w:r>
      <w:r w:rsidR="003F2DFD" w:rsidRPr="00461F9F">
        <w:rPr>
          <w:rFonts w:ascii="Arial Narrow" w:hAnsi="Arial Narrow"/>
          <w:sz w:val="24"/>
          <w:szCs w:val="24"/>
        </w:rPr>
        <w:t>. Le</w:t>
      </w:r>
      <w:r w:rsidR="00665516" w:rsidRPr="00461F9F">
        <w:rPr>
          <w:rFonts w:ascii="Arial Narrow" w:hAnsi="Arial Narrow"/>
          <w:sz w:val="24"/>
          <w:szCs w:val="24"/>
        </w:rPr>
        <w:t xml:space="preserve"> CGAP </w:t>
      </w:r>
      <w:r w:rsidR="003F2DFD" w:rsidRPr="00461F9F">
        <w:rPr>
          <w:rFonts w:ascii="Arial Narrow" w:hAnsi="Arial Narrow"/>
          <w:sz w:val="24"/>
          <w:szCs w:val="24"/>
        </w:rPr>
        <w:t>étant</w:t>
      </w:r>
      <w:r w:rsidR="00665516" w:rsidRPr="00461F9F">
        <w:rPr>
          <w:rFonts w:ascii="Arial Narrow" w:hAnsi="Arial Narrow"/>
          <w:sz w:val="24"/>
          <w:szCs w:val="24"/>
        </w:rPr>
        <w:t xml:space="preserve"> financé par le Fonds d’assurance parentale et non par le budget général de l’État</w:t>
      </w:r>
      <w:r w:rsidR="003F2DFD" w:rsidRPr="00461F9F">
        <w:rPr>
          <w:rFonts w:ascii="Arial Narrow" w:hAnsi="Arial Narrow"/>
          <w:sz w:val="24"/>
          <w:szCs w:val="24"/>
        </w:rPr>
        <w:t>, son abolition ne génère aucune économie réelle</w:t>
      </w:r>
      <w:r w:rsidR="003B6DA7" w:rsidRPr="00461F9F">
        <w:rPr>
          <w:rFonts w:ascii="Arial Narrow" w:hAnsi="Arial Narrow"/>
          <w:sz w:val="24"/>
          <w:szCs w:val="24"/>
        </w:rPr>
        <w:t xml:space="preserve">, mais </w:t>
      </w:r>
      <w:r w:rsidR="00354934" w:rsidRPr="00461F9F">
        <w:rPr>
          <w:rFonts w:ascii="Arial Narrow" w:hAnsi="Arial Narrow"/>
          <w:sz w:val="24"/>
          <w:szCs w:val="24"/>
        </w:rPr>
        <w:t>en modifiant sa</w:t>
      </w:r>
      <w:r w:rsidR="003B6DA7" w:rsidRPr="00461F9F">
        <w:rPr>
          <w:rFonts w:ascii="Arial Narrow" w:hAnsi="Arial Narrow"/>
          <w:sz w:val="24"/>
          <w:szCs w:val="24"/>
        </w:rPr>
        <w:t xml:space="preserve"> gouvernance</w:t>
      </w:r>
      <w:r w:rsidR="00354934" w:rsidRPr="00461F9F">
        <w:rPr>
          <w:rFonts w:ascii="Arial Narrow" w:hAnsi="Arial Narrow"/>
          <w:sz w:val="24"/>
          <w:szCs w:val="24"/>
        </w:rPr>
        <w:t>, c’est son sens qui est en péril.</w:t>
      </w:r>
    </w:p>
    <w:p w14:paraId="6664B755" w14:textId="77777777" w:rsidR="00E969FB" w:rsidRPr="00461F9F" w:rsidRDefault="00E969FB" w:rsidP="004535F2">
      <w:pPr>
        <w:spacing w:before="240" w:after="240"/>
        <w:rPr>
          <w:rFonts w:ascii="Arial Narrow" w:hAnsi="Arial Narrow"/>
          <w:sz w:val="24"/>
          <w:szCs w:val="24"/>
        </w:rPr>
      </w:pPr>
      <w:r w:rsidRPr="00461F9F">
        <w:rPr>
          <w:rFonts w:ascii="Arial Narrow" w:hAnsi="Arial Narrow"/>
          <w:sz w:val="24"/>
          <w:szCs w:val="24"/>
        </w:rPr>
        <w:t xml:space="preserve">Le RQAP n’a jamais été conçu comme un simple programme. Il est un levier social, un outil d’égalité, un espace de reconnaissance du travail du soin, de la présence et du temps accordé à l’attachement. </w:t>
      </w:r>
    </w:p>
    <w:p w14:paraId="52020470" w14:textId="658B838E" w:rsidR="00E969FB" w:rsidRPr="00461F9F" w:rsidRDefault="00354934" w:rsidP="004535F2">
      <w:pPr>
        <w:spacing w:before="240" w:after="240"/>
        <w:rPr>
          <w:rFonts w:ascii="Arial Narrow" w:hAnsi="Arial Narrow"/>
          <w:sz w:val="24"/>
          <w:szCs w:val="24"/>
        </w:rPr>
      </w:pPr>
      <w:r w:rsidRPr="00461F9F">
        <w:rPr>
          <w:rFonts w:ascii="Arial Narrow" w:hAnsi="Arial Narrow"/>
          <w:sz w:val="24"/>
          <w:szCs w:val="24"/>
        </w:rPr>
        <w:t xml:space="preserve">L’enjeu n’est donc pas seulement de savoir où le régime sera administré, mais avec quelle intention directrice il le sera. </w:t>
      </w:r>
      <w:r w:rsidR="00E969FB" w:rsidRPr="00461F9F">
        <w:rPr>
          <w:rFonts w:ascii="Arial Narrow" w:hAnsi="Arial Narrow"/>
          <w:sz w:val="24"/>
          <w:szCs w:val="24"/>
        </w:rPr>
        <w:t xml:space="preserve">L’abolition du </w:t>
      </w:r>
      <w:r w:rsidR="005C5684" w:rsidRPr="00461F9F">
        <w:rPr>
          <w:rFonts w:ascii="Arial Narrow" w:hAnsi="Arial Narrow"/>
          <w:sz w:val="24"/>
          <w:szCs w:val="24"/>
        </w:rPr>
        <w:t xml:space="preserve">CGAP </w:t>
      </w:r>
      <w:r w:rsidR="00E969FB" w:rsidRPr="00461F9F">
        <w:rPr>
          <w:rFonts w:ascii="Arial Narrow" w:hAnsi="Arial Narrow"/>
          <w:sz w:val="24"/>
          <w:szCs w:val="24"/>
        </w:rPr>
        <w:t xml:space="preserve">risque de déplacer la logique d’action du régime : d’une approche centrée sur les besoins des familles à une logique administrative axée sur la gestion des prestations et des processus. </w:t>
      </w:r>
    </w:p>
    <w:p w14:paraId="796283A6" w14:textId="04B6A102" w:rsidR="00F907F3" w:rsidRPr="00461F9F" w:rsidRDefault="00FA70D4"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8" w:name="_Toc215406207"/>
      <w:r w:rsidRPr="00461F9F">
        <w:rPr>
          <w:rFonts w:ascii="Arial Narrow" w:hAnsi="Arial Narrow"/>
          <w:b/>
          <w:bCs/>
          <w:color w:val="365F91" w:themeColor="accent1" w:themeShade="BF"/>
        </w:rPr>
        <w:t>Conclusion</w:t>
      </w:r>
      <w:bookmarkEnd w:id="8"/>
    </w:p>
    <w:p w14:paraId="29129CF5" w14:textId="1B1383D2" w:rsidR="00790159" w:rsidRPr="00461F9F" w:rsidRDefault="00507664" w:rsidP="004535F2">
      <w:pPr>
        <w:spacing w:before="240" w:after="240"/>
        <w:rPr>
          <w:rFonts w:ascii="Arial Narrow" w:hAnsi="Arial Narrow"/>
          <w:sz w:val="24"/>
          <w:szCs w:val="24"/>
        </w:rPr>
      </w:pPr>
      <w:r w:rsidRPr="00461F9F">
        <w:rPr>
          <w:rFonts w:ascii="Arial Narrow" w:hAnsi="Arial Narrow"/>
          <w:sz w:val="24"/>
          <w:szCs w:val="24"/>
        </w:rPr>
        <w:t>L</w:t>
      </w:r>
      <w:r w:rsidR="00082E55" w:rsidRPr="00461F9F">
        <w:rPr>
          <w:rFonts w:ascii="Arial Narrow" w:hAnsi="Arial Narrow"/>
          <w:sz w:val="24"/>
          <w:szCs w:val="24"/>
        </w:rPr>
        <w:t xml:space="preserve">es fusions proposées par le projet de loi no 7 </w:t>
      </w:r>
      <w:proofErr w:type="gramStart"/>
      <w:r w:rsidR="00082E55" w:rsidRPr="00461F9F">
        <w:rPr>
          <w:rFonts w:ascii="Arial Narrow" w:hAnsi="Arial Narrow"/>
          <w:sz w:val="24"/>
          <w:szCs w:val="24"/>
        </w:rPr>
        <w:t>ont</w:t>
      </w:r>
      <w:proofErr w:type="gramEnd"/>
      <w:r w:rsidR="00082E55" w:rsidRPr="00461F9F">
        <w:rPr>
          <w:rFonts w:ascii="Arial Narrow" w:hAnsi="Arial Narrow"/>
          <w:sz w:val="24"/>
          <w:szCs w:val="24"/>
        </w:rPr>
        <w:t xml:space="preserve"> des conséquences trop importantes </w:t>
      </w:r>
      <w:r w:rsidR="00D64CC8" w:rsidRPr="00461F9F">
        <w:rPr>
          <w:rFonts w:ascii="Arial Narrow" w:hAnsi="Arial Narrow"/>
          <w:sz w:val="24"/>
          <w:szCs w:val="24"/>
        </w:rPr>
        <w:t xml:space="preserve">sur des acquis sociaux </w:t>
      </w:r>
      <w:r w:rsidR="00082E55" w:rsidRPr="00461F9F">
        <w:rPr>
          <w:rFonts w:ascii="Arial Narrow" w:hAnsi="Arial Narrow"/>
          <w:sz w:val="24"/>
          <w:szCs w:val="24"/>
        </w:rPr>
        <w:t xml:space="preserve">pour être </w:t>
      </w:r>
      <w:r w:rsidR="006954FF" w:rsidRPr="00461F9F">
        <w:rPr>
          <w:rFonts w:ascii="Arial Narrow" w:hAnsi="Arial Narrow"/>
          <w:sz w:val="24"/>
          <w:szCs w:val="24"/>
        </w:rPr>
        <w:t xml:space="preserve">traitées dans un contexte qui ne permet pas </w:t>
      </w:r>
      <w:r w:rsidR="00EA44D4" w:rsidRPr="00461F9F">
        <w:rPr>
          <w:rFonts w:ascii="Arial Narrow" w:hAnsi="Arial Narrow"/>
          <w:sz w:val="24"/>
          <w:szCs w:val="24"/>
        </w:rPr>
        <w:t>une analyse rigoureuse.</w:t>
      </w:r>
      <w:r w:rsidR="00F27D72" w:rsidRPr="00461F9F">
        <w:rPr>
          <w:rFonts w:ascii="Arial Narrow" w:hAnsi="Arial Narrow"/>
          <w:sz w:val="24"/>
          <w:szCs w:val="24"/>
        </w:rPr>
        <w:t xml:space="preserve"> </w:t>
      </w:r>
      <w:r w:rsidR="00790159" w:rsidRPr="00461F9F">
        <w:rPr>
          <w:rFonts w:ascii="Arial Narrow" w:hAnsi="Arial Narrow"/>
          <w:sz w:val="24"/>
          <w:szCs w:val="24"/>
        </w:rPr>
        <w:t>Cette manière de gouverner n’est pas acceptable, d’autant plus que le projet de loi n’a pas été évalué selon l’</w:t>
      </w:r>
      <w:r w:rsidR="00790159" w:rsidRPr="00461F9F">
        <w:rPr>
          <w:rFonts w:ascii="Arial Narrow" w:hAnsi="Arial Narrow"/>
          <w:i/>
          <w:iCs/>
          <w:sz w:val="24"/>
          <w:szCs w:val="24"/>
        </w:rPr>
        <w:t xml:space="preserve">ADS+, </w:t>
      </w:r>
      <w:r w:rsidR="00790159" w:rsidRPr="00461F9F">
        <w:rPr>
          <w:rFonts w:ascii="Arial Narrow" w:hAnsi="Arial Narrow"/>
          <w:sz w:val="24"/>
          <w:szCs w:val="24"/>
        </w:rPr>
        <w:t xml:space="preserve">soit selon </w:t>
      </w:r>
      <w:r w:rsidR="00790159" w:rsidRPr="00461F9F">
        <w:rPr>
          <w:rFonts w:ascii="Arial Narrow" w:hAnsi="Arial Narrow"/>
          <w:i/>
          <w:iCs/>
          <w:sz w:val="24"/>
          <w:szCs w:val="24"/>
        </w:rPr>
        <w:t>l’Analyse différenciée selon les sexes dans une perspective intersectionnelle</w:t>
      </w:r>
      <w:r w:rsidR="00790159" w:rsidRPr="00461F9F">
        <w:rPr>
          <w:rFonts w:ascii="Arial Narrow" w:hAnsi="Arial Narrow"/>
          <w:sz w:val="24"/>
          <w:szCs w:val="24"/>
        </w:rPr>
        <w:t>.</w:t>
      </w:r>
    </w:p>
    <w:p w14:paraId="574C9C49" w14:textId="13A0DFFC" w:rsidR="00D64CC8" w:rsidRPr="00461F9F" w:rsidRDefault="001F1D85" w:rsidP="004535F2">
      <w:pPr>
        <w:spacing w:before="240" w:after="240"/>
        <w:rPr>
          <w:rFonts w:ascii="Arial Narrow" w:hAnsi="Arial Narrow"/>
          <w:sz w:val="24"/>
          <w:szCs w:val="24"/>
        </w:rPr>
      </w:pPr>
      <w:r w:rsidRPr="00461F9F">
        <w:rPr>
          <w:rFonts w:ascii="Arial Narrow" w:hAnsi="Arial Narrow"/>
          <w:sz w:val="24"/>
          <w:szCs w:val="24"/>
        </w:rPr>
        <w:t>Par ce mémoire, la Table n’a soulevé que deux de ces modifications</w:t>
      </w:r>
      <w:r w:rsidR="00686386" w:rsidRPr="00461F9F">
        <w:rPr>
          <w:rFonts w:ascii="Arial Narrow" w:hAnsi="Arial Narrow"/>
          <w:sz w:val="24"/>
          <w:szCs w:val="24"/>
        </w:rPr>
        <w:t xml:space="preserve">, soit que les fusions proposées par le projet de loi no 7 mettent en péril le mouvement de l’action communautaire autonome et dénaturent le Régime québécois d’assurance parentale. Cependant, </w:t>
      </w:r>
      <w:r w:rsidRPr="00461F9F">
        <w:rPr>
          <w:rFonts w:ascii="Arial Narrow" w:hAnsi="Arial Narrow"/>
          <w:sz w:val="24"/>
          <w:szCs w:val="24"/>
        </w:rPr>
        <w:t xml:space="preserve">il est clair que </w:t>
      </w:r>
      <w:r w:rsidR="00EA44D4" w:rsidRPr="00461F9F">
        <w:rPr>
          <w:rFonts w:ascii="Arial Narrow" w:hAnsi="Arial Narrow"/>
          <w:sz w:val="24"/>
          <w:szCs w:val="24"/>
        </w:rPr>
        <w:t>ce</w:t>
      </w:r>
      <w:r w:rsidRPr="00461F9F">
        <w:rPr>
          <w:rFonts w:ascii="Arial Narrow" w:hAnsi="Arial Narrow"/>
          <w:sz w:val="24"/>
          <w:szCs w:val="24"/>
        </w:rPr>
        <w:t xml:space="preserve"> ne sont pas les seules </w:t>
      </w:r>
      <w:r w:rsidR="00B93F7D" w:rsidRPr="00461F9F">
        <w:rPr>
          <w:rFonts w:ascii="Arial Narrow" w:hAnsi="Arial Narrow"/>
          <w:sz w:val="24"/>
          <w:szCs w:val="24"/>
        </w:rPr>
        <w:t xml:space="preserve">modifications </w:t>
      </w:r>
      <w:r w:rsidRPr="00461F9F">
        <w:rPr>
          <w:rFonts w:ascii="Arial Narrow" w:hAnsi="Arial Narrow"/>
          <w:sz w:val="24"/>
          <w:szCs w:val="24"/>
        </w:rPr>
        <w:t>qui devraient être remise</w:t>
      </w:r>
      <w:r w:rsidR="00D33477" w:rsidRPr="00461F9F">
        <w:rPr>
          <w:rFonts w:ascii="Arial Narrow" w:hAnsi="Arial Narrow"/>
          <w:sz w:val="24"/>
          <w:szCs w:val="24"/>
        </w:rPr>
        <w:t>s</w:t>
      </w:r>
      <w:r w:rsidRPr="00461F9F">
        <w:rPr>
          <w:rFonts w:ascii="Arial Narrow" w:hAnsi="Arial Narrow"/>
          <w:sz w:val="24"/>
          <w:szCs w:val="24"/>
        </w:rPr>
        <w:t xml:space="preserve"> en question</w:t>
      </w:r>
      <w:r w:rsidR="00EA44D4" w:rsidRPr="00461F9F">
        <w:rPr>
          <w:rFonts w:ascii="Arial Narrow" w:hAnsi="Arial Narrow"/>
          <w:sz w:val="24"/>
          <w:szCs w:val="24"/>
        </w:rPr>
        <w:t xml:space="preserve"> par le</w:t>
      </w:r>
      <w:r w:rsidR="00790159" w:rsidRPr="00461F9F">
        <w:rPr>
          <w:rFonts w:ascii="Arial Narrow" w:hAnsi="Arial Narrow"/>
          <w:sz w:val="24"/>
          <w:szCs w:val="24"/>
        </w:rPr>
        <w:t>s membres de la</w:t>
      </w:r>
      <w:r w:rsidR="00EA44D4" w:rsidRPr="00461F9F">
        <w:rPr>
          <w:rFonts w:ascii="Arial Narrow" w:hAnsi="Arial Narrow"/>
          <w:sz w:val="24"/>
          <w:szCs w:val="24"/>
        </w:rPr>
        <w:t xml:space="preserve"> Commission des </w:t>
      </w:r>
      <w:r w:rsidR="00790159" w:rsidRPr="00461F9F">
        <w:rPr>
          <w:rFonts w:ascii="Arial Narrow" w:hAnsi="Arial Narrow"/>
          <w:sz w:val="24"/>
          <w:szCs w:val="24"/>
        </w:rPr>
        <w:t>f</w:t>
      </w:r>
      <w:r w:rsidR="00EA44D4" w:rsidRPr="00461F9F">
        <w:rPr>
          <w:rFonts w:ascii="Arial Narrow" w:hAnsi="Arial Narrow"/>
          <w:sz w:val="24"/>
          <w:szCs w:val="24"/>
        </w:rPr>
        <w:t>inances publiques.</w:t>
      </w:r>
    </w:p>
    <w:p w14:paraId="48FEDDC4" w14:textId="4B2A3C1D" w:rsidR="009A1D99" w:rsidRPr="00461F9F" w:rsidRDefault="009A1D99" w:rsidP="004535F2">
      <w:pPr>
        <w:pStyle w:val="Titre2"/>
        <w:numPr>
          <w:ilvl w:val="0"/>
          <w:numId w:val="11"/>
        </w:numPr>
        <w:spacing w:before="100" w:beforeAutospacing="1" w:after="100" w:afterAutospacing="1" w:line="240" w:lineRule="auto"/>
        <w:ind w:left="0" w:firstLine="0"/>
        <w:rPr>
          <w:rFonts w:ascii="Arial Narrow" w:hAnsi="Arial Narrow"/>
          <w:b/>
          <w:bCs/>
          <w:color w:val="365F91" w:themeColor="accent1" w:themeShade="BF"/>
        </w:rPr>
      </w:pPr>
      <w:bookmarkStart w:id="9" w:name="_Toc215406208"/>
      <w:r w:rsidRPr="00461F9F">
        <w:rPr>
          <w:rFonts w:ascii="Arial Narrow" w:hAnsi="Arial Narrow"/>
          <w:b/>
          <w:bCs/>
          <w:color w:val="365F91" w:themeColor="accent1" w:themeShade="BF"/>
        </w:rPr>
        <w:lastRenderedPageBreak/>
        <w:t>Recommandations</w:t>
      </w:r>
      <w:bookmarkEnd w:id="9"/>
    </w:p>
    <w:p w14:paraId="1B8899FE" w14:textId="6BB29108" w:rsidR="00B93F7D" w:rsidRPr="00461F9F" w:rsidRDefault="00B93F7D" w:rsidP="004535F2">
      <w:pPr>
        <w:spacing w:before="240" w:after="240"/>
        <w:rPr>
          <w:rFonts w:ascii="Arial Narrow" w:hAnsi="Arial Narrow"/>
          <w:b/>
          <w:bCs/>
          <w:sz w:val="24"/>
          <w:szCs w:val="24"/>
        </w:rPr>
      </w:pPr>
      <w:r w:rsidRPr="00461F9F">
        <w:rPr>
          <w:rFonts w:ascii="Arial Narrow" w:hAnsi="Arial Narrow"/>
          <w:b/>
          <w:bCs/>
          <w:sz w:val="24"/>
          <w:szCs w:val="24"/>
        </w:rPr>
        <w:t>La Table des regroupements provinciaux d’organismes communautaires et bénévoles recommande</w:t>
      </w:r>
      <w:r w:rsidR="009A1D99" w:rsidRPr="00461F9F">
        <w:rPr>
          <w:rFonts w:ascii="Arial Narrow" w:hAnsi="Arial Narrow"/>
          <w:b/>
          <w:bCs/>
          <w:sz w:val="24"/>
          <w:szCs w:val="24"/>
        </w:rPr>
        <w:t> :</w:t>
      </w:r>
    </w:p>
    <w:p w14:paraId="796283A7" w14:textId="6D91BC1B" w:rsidR="00F907F3" w:rsidRPr="00461F9F" w:rsidRDefault="009A1D99" w:rsidP="00461F9F">
      <w:pPr>
        <w:numPr>
          <w:ilvl w:val="0"/>
          <w:numId w:val="1"/>
        </w:numPr>
        <w:spacing w:before="240"/>
        <w:ind w:left="567" w:hanging="567"/>
        <w:rPr>
          <w:rFonts w:ascii="Arial Narrow" w:hAnsi="Arial Narrow"/>
          <w:sz w:val="24"/>
          <w:szCs w:val="24"/>
        </w:rPr>
      </w:pPr>
      <w:r w:rsidRPr="00461F9F">
        <w:rPr>
          <w:rFonts w:ascii="Arial Narrow" w:hAnsi="Arial Narrow"/>
          <w:sz w:val="24"/>
          <w:szCs w:val="24"/>
        </w:rPr>
        <w:t xml:space="preserve">De retirer le chapitre IV (titre II) prévoyant la fusion du </w:t>
      </w:r>
      <w:r w:rsidR="001B4FBC" w:rsidRPr="00461F9F">
        <w:rPr>
          <w:rFonts w:ascii="Arial Narrow" w:hAnsi="Arial Narrow"/>
          <w:sz w:val="24"/>
          <w:szCs w:val="24"/>
        </w:rPr>
        <w:t>Fonds d'aide à l'action communautaire autonome (FAACA) avec le Fonds québécois d'initiatives sociales (FQIS</w:t>
      </w:r>
      <w:r w:rsidR="009F7AF5" w:rsidRPr="00461F9F">
        <w:rPr>
          <w:rFonts w:ascii="Arial Narrow" w:hAnsi="Arial Narrow"/>
          <w:sz w:val="24"/>
          <w:szCs w:val="24"/>
        </w:rPr>
        <w:t>).</w:t>
      </w:r>
    </w:p>
    <w:p w14:paraId="492759BA" w14:textId="50B195FF" w:rsidR="004D032A" w:rsidRPr="00461F9F" w:rsidRDefault="009A1D99" w:rsidP="00461F9F">
      <w:pPr>
        <w:numPr>
          <w:ilvl w:val="0"/>
          <w:numId w:val="1"/>
        </w:numPr>
        <w:spacing w:before="240"/>
        <w:ind w:left="567" w:hanging="567"/>
        <w:rPr>
          <w:rFonts w:ascii="Arial Narrow" w:hAnsi="Arial Narrow"/>
          <w:sz w:val="24"/>
          <w:szCs w:val="24"/>
        </w:rPr>
      </w:pPr>
      <w:r w:rsidRPr="00461F9F">
        <w:rPr>
          <w:rFonts w:ascii="Arial Narrow" w:hAnsi="Arial Narrow"/>
          <w:sz w:val="24"/>
          <w:szCs w:val="24"/>
        </w:rPr>
        <w:t>De maintenir le FAACA comme structure indépendante avec son mandat spécifique de soutien aux organismes de défense collective des droits.</w:t>
      </w:r>
    </w:p>
    <w:p w14:paraId="51AF832A" w14:textId="4EA3A924" w:rsidR="005C5684" w:rsidRPr="00461F9F" w:rsidRDefault="009A1D99" w:rsidP="00461F9F">
      <w:pPr>
        <w:numPr>
          <w:ilvl w:val="0"/>
          <w:numId w:val="1"/>
        </w:numPr>
        <w:spacing w:before="240"/>
        <w:ind w:left="567" w:hanging="567"/>
        <w:rPr>
          <w:rFonts w:ascii="Arial Narrow" w:hAnsi="Arial Narrow"/>
          <w:sz w:val="24"/>
          <w:szCs w:val="24"/>
        </w:rPr>
      </w:pPr>
      <w:r w:rsidRPr="00461F9F">
        <w:rPr>
          <w:rFonts w:ascii="Arial Narrow" w:hAnsi="Arial Narrow"/>
          <w:sz w:val="24"/>
          <w:szCs w:val="24"/>
        </w:rPr>
        <w:t>De m</w:t>
      </w:r>
      <w:r w:rsidR="005C5684" w:rsidRPr="00461F9F">
        <w:rPr>
          <w:rFonts w:ascii="Arial Narrow" w:hAnsi="Arial Narrow"/>
          <w:sz w:val="24"/>
          <w:szCs w:val="24"/>
        </w:rPr>
        <w:t xml:space="preserve">aintenir le </w:t>
      </w:r>
      <w:r w:rsidR="006E1E19" w:rsidRPr="00461F9F">
        <w:rPr>
          <w:rFonts w:ascii="Arial Narrow" w:hAnsi="Arial Narrow"/>
          <w:sz w:val="24"/>
          <w:szCs w:val="24"/>
        </w:rPr>
        <w:t xml:space="preserve">Conseil de gestion de l’assurance parentale (CGAP) </w:t>
      </w:r>
      <w:r w:rsidR="005C5684" w:rsidRPr="00461F9F">
        <w:rPr>
          <w:rFonts w:ascii="Arial Narrow" w:hAnsi="Arial Narrow"/>
          <w:sz w:val="24"/>
          <w:szCs w:val="24"/>
        </w:rPr>
        <w:t xml:space="preserve">dans sa forme actuelle, soit avec un conseil d’administration dédié, une équipe spécialisée et un mandat complet de développement du </w:t>
      </w:r>
      <w:r w:rsidR="004D032A" w:rsidRPr="00461F9F">
        <w:rPr>
          <w:rFonts w:ascii="Arial Narrow" w:hAnsi="Arial Narrow"/>
          <w:sz w:val="24"/>
          <w:szCs w:val="24"/>
        </w:rPr>
        <w:t>Régime québécois d’assurance parentale (RQAP)</w:t>
      </w:r>
    </w:p>
    <w:p w14:paraId="3D1C9B33" w14:textId="2B0C2E6B" w:rsidR="00BD79C8" w:rsidRPr="00461F9F" w:rsidRDefault="00BD79C8" w:rsidP="00461F9F">
      <w:pPr>
        <w:numPr>
          <w:ilvl w:val="0"/>
          <w:numId w:val="1"/>
        </w:numPr>
        <w:spacing w:before="240"/>
        <w:ind w:left="567" w:hanging="567"/>
        <w:rPr>
          <w:rFonts w:ascii="Arial Narrow" w:hAnsi="Arial Narrow"/>
          <w:sz w:val="24"/>
          <w:szCs w:val="24"/>
        </w:rPr>
      </w:pPr>
      <w:r w:rsidRPr="00461F9F">
        <w:rPr>
          <w:rFonts w:ascii="Arial Narrow" w:hAnsi="Arial Narrow"/>
          <w:sz w:val="24"/>
          <w:szCs w:val="24"/>
        </w:rPr>
        <w:t>D</w:t>
      </w:r>
      <w:r w:rsidR="001978E8" w:rsidRPr="00461F9F">
        <w:rPr>
          <w:rFonts w:ascii="Arial Narrow" w:hAnsi="Arial Narrow"/>
          <w:sz w:val="24"/>
          <w:szCs w:val="24"/>
        </w:rPr>
        <w:t>e</w:t>
      </w:r>
      <w:r w:rsidR="009A1D99" w:rsidRPr="00461F9F">
        <w:rPr>
          <w:rFonts w:ascii="Arial Narrow" w:hAnsi="Arial Narrow"/>
          <w:sz w:val="24"/>
          <w:szCs w:val="24"/>
        </w:rPr>
        <w:t xml:space="preserve"> m</w:t>
      </w:r>
      <w:r w:rsidR="004F4B1E" w:rsidRPr="00461F9F">
        <w:rPr>
          <w:rFonts w:ascii="Arial Narrow" w:hAnsi="Arial Narrow"/>
          <w:sz w:val="24"/>
          <w:szCs w:val="24"/>
        </w:rPr>
        <w:t>ener</w:t>
      </w:r>
      <w:r w:rsidR="00E0762E" w:rsidRPr="00461F9F">
        <w:rPr>
          <w:rFonts w:ascii="Arial Narrow" w:hAnsi="Arial Narrow"/>
          <w:sz w:val="24"/>
          <w:szCs w:val="24"/>
        </w:rPr>
        <w:t xml:space="preserve"> </w:t>
      </w:r>
      <w:r w:rsidR="009A1D99" w:rsidRPr="00461F9F">
        <w:rPr>
          <w:rFonts w:ascii="Arial Narrow" w:hAnsi="Arial Narrow"/>
          <w:sz w:val="24"/>
          <w:szCs w:val="24"/>
        </w:rPr>
        <w:t xml:space="preserve">une </w:t>
      </w:r>
      <w:r w:rsidR="004F4B1E" w:rsidRPr="00461F9F">
        <w:rPr>
          <w:rFonts w:ascii="Arial Narrow" w:hAnsi="Arial Narrow"/>
          <w:sz w:val="24"/>
          <w:szCs w:val="24"/>
        </w:rPr>
        <w:t>analyse différenciée selon les sexes dans une perspective intersectionnelle (ADS+)</w:t>
      </w:r>
      <w:r w:rsidR="00C232F6" w:rsidRPr="00461F9F">
        <w:rPr>
          <w:rFonts w:ascii="Arial Narrow" w:hAnsi="Arial Narrow"/>
          <w:sz w:val="24"/>
          <w:szCs w:val="24"/>
        </w:rPr>
        <w:t xml:space="preserve"> </w:t>
      </w:r>
      <w:r w:rsidR="00E0762E" w:rsidRPr="00461F9F">
        <w:rPr>
          <w:rFonts w:ascii="Arial Narrow" w:hAnsi="Arial Narrow"/>
          <w:sz w:val="24"/>
          <w:szCs w:val="24"/>
        </w:rPr>
        <w:t xml:space="preserve">avant le dépôt de tout projet de loi </w:t>
      </w:r>
      <w:r w:rsidR="00C976C1" w:rsidRPr="00461F9F">
        <w:rPr>
          <w:rFonts w:ascii="Arial Narrow" w:hAnsi="Arial Narrow"/>
          <w:sz w:val="24"/>
          <w:szCs w:val="24"/>
        </w:rPr>
        <w:t xml:space="preserve">et de réaliser cette dernière </w:t>
      </w:r>
      <w:r w:rsidR="00E0762E" w:rsidRPr="00461F9F">
        <w:rPr>
          <w:rFonts w:ascii="Arial Narrow" w:hAnsi="Arial Narrow"/>
          <w:sz w:val="24"/>
          <w:szCs w:val="24"/>
        </w:rPr>
        <w:t>avant l’adoption du pr</w:t>
      </w:r>
      <w:r w:rsidR="00C232F6" w:rsidRPr="00461F9F">
        <w:rPr>
          <w:rFonts w:ascii="Arial Narrow" w:hAnsi="Arial Narrow"/>
          <w:sz w:val="24"/>
          <w:szCs w:val="24"/>
        </w:rPr>
        <w:t>ojet de loi 7</w:t>
      </w:r>
      <w:r w:rsidR="00E0762E" w:rsidRPr="00461F9F">
        <w:rPr>
          <w:rFonts w:ascii="Arial Narrow" w:hAnsi="Arial Narrow"/>
          <w:sz w:val="24"/>
          <w:szCs w:val="24"/>
        </w:rPr>
        <w:t>.</w:t>
      </w:r>
    </w:p>
    <w:p w14:paraId="13C3D327" w14:textId="4CFCF4C2" w:rsidR="00B118D4" w:rsidRPr="00461F9F" w:rsidRDefault="00BD79C8" w:rsidP="00461F9F">
      <w:pPr>
        <w:numPr>
          <w:ilvl w:val="0"/>
          <w:numId w:val="1"/>
        </w:numPr>
        <w:spacing w:before="240"/>
        <w:ind w:left="567" w:hanging="567"/>
        <w:rPr>
          <w:rFonts w:ascii="Arial Narrow" w:hAnsi="Arial Narrow"/>
          <w:sz w:val="24"/>
          <w:szCs w:val="24"/>
        </w:rPr>
      </w:pPr>
      <w:r w:rsidRPr="00461F9F">
        <w:rPr>
          <w:rFonts w:ascii="Arial Narrow" w:hAnsi="Arial Narrow"/>
          <w:sz w:val="24"/>
          <w:szCs w:val="24"/>
        </w:rPr>
        <w:t xml:space="preserve">De </w:t>
      </w:r>
      <w:r w:rsidR="00FB6F63" w:rsidRPr="00461F9F">
        <w:rPr>
          <w:rFonts w:ascii="Arial Narrow" w:hAnsi="Arial Narrow"/>
          <w:sz w:val="24"/>
          <w:szCs w:val="24"/>
        </w:rPr>
        <w:t>ne p</w:t>
      </w:r>
      <w:r w:rsidR="008010F2" w:rsidRPr="00461F9F">
        <w:rPr>
          <w:rFonts w:ascii="Arial Narrow" w:hAnsi="Arial Narrow"/>
          <w:sz w:val="24"/>
          <w:szCs w:val="24"/>
        </w:rPr>
        <w:t xml:space="preserve">lus </w:t>
      </w:r>
      <w:r w:rsidR="00FB6F63" w:rsidRPr="00461F9F">
        <w:rPr>
          <w:rFonts w:ascii="Arial Narrow" w:hAnsi="Arial Narrow"/>
          <w:sz w:val="24"/>
          <w:szCs w:val="24"/>
        </w:rPr>
        <w:t>déposer de projet de loi dont l’</w:t>
      </w:r>
      <w:r w:rsidR="00993075" w:rsidRPr="00461F9F">
        <w:rPr>
          <w:rFonts w:ascii="Arial Narrow" w:hAnsi="Arial Narrow"/>
          <w:sz w:val="24"/>
          <w:szCs w:val="24"/>
        </w:rPr>
        <w:t xml:space="preserve">ampleur </w:t>
      </w:r>
      <w:r w:rsidR="00ED332E" w:rsidRPr="00461F9F">
        <w:rPr>
          <w:rFonts w:ascii="Arial Narrow" w:hAnsi="Arial Narrow"/>
          <w:sz w:val="24"/>
          <w:szCs w:val="24"/>
        </w:rPr>
        <w:t>e</w:t>
      </w:r>
      <w:r w:rsidR="00FB6F63" w:rsidRPr="00461F9F">
        <w:rPr>
          <w:rFonts w:ascii="Arial Narrow" w:hAnsi="Arial Narrow"/>
          <w:sz w:val="24"/>
          <w:szCs w:val="24"/>
        </w:rPr>
        <w:t xml:space="preserve">mpêche </w:t>
      </w:r>
      <w:r w:rsidR="00B118D4" w:rsidRPr="00461F9F">
        <w:rPr>
          <w:rFonts w:ascii="Arial Narrow" w:hAnsi="Arial Narrow"/>
          <w:sz w:val="24"/>
          <w:szCs w:val="24"/>
        </w:rPr>
        <w:t xml:space="preserve">la société civile, dont font partie les organismes communautaires autonomes, de procéder à </w:t>
      </w:r>
      <w:r w:rsidR="00670877" w:rsidRPr="00461F9F">
        <w:rPr>
          <w:rFonts w:ascii="Arial Narrow" w:hAnsi="Arial Narrow"/>
          <w:sz w:val="24"/>
          <w:szCs w:val="24"/>
        </w:rPr>
        <w:t>leur</w:t>
      </w:r>
      <w:r w:rsidR="00B118D4" w:rsidRPr="00461F9F">
        <w:rPr>
          <w:rFonts w:ascii="Arial Narrow" w:hAnsi="Arial Narrow"/>
          <w:sz w:val="24"/>
          <w:szCs w:val="24"/>
        </w:rPr>
        <w:t xml:space="preserve"> </w:t>
      </w:r>
      <w:r w:rsidR="00ED332E" w:rsidRPr="00461F9F">
        <w:rPr>
          <w:rFonts w:ascii="Arial Narrow" w:hAnsi="Arial Narrow"/>
          <w:sz w:val="24"/>
          <w:szCs w:val="24"/>
        </w:rPr>
        <w:t xml:space="preserve">analyse </w:t>
      </w:r>
      <w:r w:rsidR="00B118D4" w:rsidRPr="00461F9F">
        <w:rPr>
          <w:rFonts w:ascii="Arial Narrow" w:hAnsi="Arial Narrow"/>
          <w:sz w:val="24"/>
          <w:szCs w:val="24"/>
        </w:rPr>
        <w:t xml:space="preserve">et de participer </w:t>
      </w:r>
      <w:r w:rsidR="00670877" w:rsidRPr="00461F9F">
        <w:rPr>
          <w:rFonts w:ascii="Arial Narrow" w:hAnsi="Arial Narrow"/>
          <w:sz w:val="24"/>
          <w:szCs w:val="24"/>
        </w:rPr>
        <w:t xml:space="preserve">aux </w:t>
      </w:r>
      <w:r w:rsidR="00B118D4" w:rsidRPr="00461F9F">
        <w:rPr>
          <w:rFonts w:ascii="Arial Narrow" w:hAnsi="Arial Narrow"/>
          <w:sz w:val="24"/>
          <w:szCs w:val="24"/>
        </w:rPr>
        <w:t>consultation</w:t>
      </w:r>
      <w:r w:rsidR="00670877" w:rsidRPr="00461F9F">
        <w:rPr>
          <w:rFonts w:ascii="Arial Narrow" w:hAnsi="Arial Narrow"/>
          <w:sz w:val="24"/>
          <w:szCs w:val="24"/>
        </w:rPr>
        <w:t>s</w:t>
      </w:r>
      <w:r w:rsidR="00B118D4" w:rsidRPr="00461F9F">
        <w:rPr>
          <w:rFonts w:ascii="Arial Narrow" w:hAnsi="Arial Narrow"/>
          <w:sz w:val="24"/>
          <w:szCs w:val="24"/>
        </w:rPr>
        <w:t xml:space="preserve"> parlementaire</w:t>
      </w:r>
      <w:r w:rsidR="00670877" w:rsidRPr="00461F9F">
        <w:rPr>
          <w:rFonts w:ascii="Arial Narrow" w:hAnsi="Arial Narrow"/>
          <w:sz w:val="24"/>
          <w:szCs w:val="24"/>
        </w:rPr>
        <w:t>s</w:t>
      </w:r>
      <w:r w:rsidR="00B118D4" w:rsidRPr="00461F9F">
        <w:rPr>
          <w:rFonts w:ascii="Arial Narrow" w:hAnsi="Arial Narrow"/>
          <w:sz w:val="24"/>
          <w:szCs w:val="24"/>
        </w:rPr>
        <w:t>.</w:t>
      </w:r>
    </w:p>
    <w:p w14:paraId="175D1E17" w14:textId="77777777" w:rsidR="001E3B58" w:rsidRPr="00461F9F" w:rsidRDefault="001E3B58" w:rsidP="001E3B58">
      <w:pPr>
        <w:spacing w:before="240"/>
        <w:rPr>
          <w:rFonts w:ascii="Arial Narrow" w:hAnsi="Arial Narrow"/>
          <w:sz w:val="24"/>
          <w:szCs w:val="24"/>
        </w:rPr>
      </w:pPr>
    </w:p>
    <w:p w14:paraId="4FD8EFE5" w14:textId="77777777" w:rsidR="001E3B58" w:rsidRPr="00461F9F" w:rsidRDefault="001E3B58" w:rsidP="001E3B58">
      <w:pPr>
        <w:spacing w:before="240"/>
        <w:rPr>
          <w:rFonts w:ascii="Arial Narrow" w:hAnsi="Arial Narrow"/>
          <w:sz w:val="24"/>
          <w:szCs w:val="24"/>
        </w:rPr>
      </w:pPr>
    </w:p>
    <w:p w14:paraId="3DF23F7F" w14:textId="5077F9D5" w:rsidR="004819E5" w:rsidRPr="00461F9F" w:rsidRDefault="001E3B58" w:rsidP="001E3B58">
      <w:pPr>
        <w:spacing w:before="240"/>
        <w:rPr>
          <w:rFonts w:ascii="Arial Narrow" w:hAnsi="Arial Narrow"/>
          <w:sz w:val="24"/>
          <w:szCs w:val="24"/>
        </w:rPr>
      </w:pPr>
      <w:r w:rsidRPr="00461F9F">
        <w:rPr>
          <w:rFonts w:ascii="Arial Narrow" w:hAnsi="Arial Narrow"/>
          <w:noProof/>
          <w:sz w:val="24"/>
          <w:szCs w:val="24"/>
        </w:rPr>
        <w:drawing>
          <wp:anchor distT="0" distB="0" distL="114300" distR="114300" simplePos="0" relativeHeight="251658243" behindDoc="0" locked="0" layoutInCell="1" allowOverlap="1" wp14:anchorId="25B851D3" wp14:editId="4F8B1CD1">
            <wp:simplePos x="859809" y="5868537"/>
            <wp:positionH relativeFrom="margin">
              <wp:align>center</wp:align>
            </wp:positionH>
            <wp:positionV relativeFrom="margin">
              <wp:align>bottom</wp:align>
            </wp:positionV>
            <wp:extent cx="4117219" cy="2161540"/>
            <wp:effectExtent l="0" t="0" r="0" b="0"/>
            <wp:wrapSquare wrapText="bothSides"/>
            <wp:docPr id="3143681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6240" name="Image 1077866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7219" cy="2161540"/>
                    </a:xfrm>
                    <a:prstGeom prst="rect">
                      <a:avLst/>
                    </a:prstGeom>
                  </pic:spPr>
                </pic:pic>
              </a:graphicData>
            </a:graphic>
          </wp:anchor>
        </w:drawing>
      </w:r>
      <w:r w:rsidR="004819E5" w:rsidRPr="00461F9F">
        <w:rPr>
          <w:rFonts w:ascii="Arial Narrow" w:hAnsi="Arial Narrow"/>
          <w:sz w:val="24"/>
          <w:szCs w:val="24"/>
        </w:rPr>
        <w:br w:type="page"/>
      </w:r>
    </w:p>
    <w:p w14:paraId="117AB6E4" w14:textId="77777777" w:rsidR="004819E5" w:rsidRPr="00461F9F" w:rsidRDefault="004819E5" w:rsidP="004535F2">
      <w:pPr>
        <w:pStyle w:val="Titre2"/>
        <w:spacing w:before="100" w:beforeAutospacing="1" w:after="100" w:afterAutospacing="1" w:line="240" w:lineRule="auto"/>
        <w:rPr>
          <w:rFonts w:ascii="Arial Narrow" w:hAnsi="Arial Narrow"/>
          <w:b/>
          <w:bCs/>
          <w:color w:val="365F91" w:themeColor="accent1" w:themeShade="BF"/>
        </w:rPr>
      </w:pPr>
      <w:bookmarkStart w:id="10" w:name="_Toc215406209"/>
      <w:r w:rsidRPr="00461F9F">
        <w:rPr>
          <w:rFonts w:ascii="Arial Narrow" w:hAnsi="Arial Narrow"/>
          <w:b/>
          <w:bCs/>
          <w:color w:val="365F91" w:themeColor="accent1" w:themeShade="BF"/>
        </w:rPr>
        <w:lastRenderedPageBreak/>
        <w:t>Annexe : La Table des regroupements provinciaux d'organismes communautaires et bénévoles et de ses membres</w:t>
      </w:r>
      <w:bookmarkStart w:id="11" w:name="_Toc214640698"/>
      <w:r w:rsidRPr="00461F9F">
        <w:rPr>
          <w:rFonts w:ascii="Arial Narrow" w:hAnsi="Arial Narrow"/>
          <w:b/>
          <w:bCs/>
          <w:color w:val="365F91" w:themeColor="accent1" w:themeShade="BF"/>
        </w:rPr>
        <w:t xml:space="preserve"> - présentation détaillée</w:t>
      </w:r>
      <w:bookmarkEnd w:id="11"/>
      <w:bookmarkEnd w:id="10"/>
    </w:p>
    <w:p w14:paraId="2BC714CF" w14:textId="77777777" w:rsidR="004819E5" w:rsidRPr="00461F9F" w:rsidRDefault="004819E5" w:rsidP="004535F2">
      <w:pPr>
        <w:spacing w:before="100" w:beforeAutospacing="1" w:after="100" w:afterAutospacing="1" w:line="240" w:lineRule="auto"/>
        <w:jc w:val="both"/>
        <w:rPr>
          <w:rFonts w:ascii="Arial Narrow" w:eastAsia="Arial Narrow" w:hAnsi="Arial Narrow" w:cs="Arial Narrow"/>
          <w:sz w:val="24"/>
          <w:szCs w:val="24"/>
        </w:rPr>
      </w:pPr>
      <w:r w:rsidRPr="00461F9F">
        <w:rPr>
          <w:rFonts w:ascii="Arial Narrow" w:eastAsia="Arial Narrow" w:hAnsi="Arial Narrow" w:cs="Arial Narrow"/>
          <w:sz w:val="24"/>
          <w:szCs w:val="24"/>
        </w:rPr>
        <w:t xml:space="preserve">La Table des regroupements provinciaux d'organismes communautaires et bénévoles (Table) est incorporée depuis 1995, mais elle rassemble des regroupements provinciaux depuis le milieu des années 80. </w:t>
      </w:r>
    </w:p>
    <w:p w14:paraId="0F7603B9" w14:textId="77777777" w:rsidR="004819E5" w:rsidRPr="00461F9F" w:rsidRDefault="004819E5" w:rsidP="004535F2">
      <w:pPr>
        <w:spacing w:before="100" w:beforeAutospacing="1" w:after="100" w:afterAutospacing="1" w:line="240" w:lineRule="auto"/>
        <w:jc w:val="both"/>
        <w:rPr>
          <w:rFonts w:ascii="Arial Narrow" w:eastAsia="Arial Narrow" w:hAnsi="Arial Narrow" w:cs="Arial Narrow"/>
          <w:sz w:val="24"/>
          <w:szCs w:val="24"/>
        </w:rPr>
      </w:pPr>
      <w:r w:rsidRPr="00461F9F">
        <w:rPr>
          <w:rFonts w:ascii="Arial Narrow" w:eastAsia="Arial Narrow" w:hAnsi="Arial Narrow" w:cs="Arial Narrow"/>
          <w:sz w:val="24"/>
          <w:szCs w:val="24"/>
        </w:rPr>
        <w:t xml:space="preserve">Les travaux de la Commission Rochon (1988), sur la réforme du système de santé et des services sociaux, avaient alors a suscité une importante mobilisation dans le milieu des organismes communautaires (la moitié des 800 mémoires provenaient du communautaire). À compter de 1990, une douzaine de regroupements provinciaux décident de se réunir sur une base plus régulière, notamment afin d’analyser les conséquences du projet de loi 120 (1993) et du livre blanc </w:t>
      </w:r>
      <w:r w:rsidRPr="00461F9F">
        <w:rPr>
          <w:rFonts w:ascii="Arial Narrow" w:eastAsia="Arial Narrow" w:hAnsi="Arial Narrow" w:cs="Arial Narrow"/>
          <w:i/>
          <w:sz w:val="24"/>
          <w:szCs w:val="24"/>
        </w:rPr>
        <w:t>Une réforme axée sur le citoyen</w:t>
      </w:r>
      <w:r w:rsidRPr="00461F9F">
        <w:rPr>
          <w:rFonts w:ascii="Arial Narrow" w:eastAsia="Arial Narrow" w:hAnsi="Arial Narrow" w:cs="Arial Narrow"/>
          <w:sz w:val="24"/>
          <w:szCs w:val="24"/>
        </w:rPr>
        <w:t xml:space="preserve">. </w:t>
      </w:r>
    </w:p>
    <w:p w14:paraId="3D797E5D" w14:textId="77777777" w:rsidR="004819E5" w:rsidRPr="00461F9F" w:rsidRDefault="004819E5" w:rsidP="004535F2">
      <w:pPr>
        <w:spacing w:before="100" w:beforeAutospacing="1" w:after="100" w:afterAutospacing="1" w:line="240" w:lineRule="auto"/>
        <w:ind w:right="44"/>
        <w:jc w:val="both"/>
        <w:rPr>
          <w:rFonts w:ascii="Arial Narrow" w:eastAsia="Arial Narrow" w:hAnsi="Arial Narrow" w:cs="Arial Narrow"/>
          <w:sz w:val="24"/>
          <w:szCs w:val="24"/>
        </w:rPr>
      </w:pPr>
      <w:r w:rsidRPr="00461F9F">
        <w:rPr>
          <w:rFonts w:ascii="Arial Narrow" w:eastAsia="Arial Narrow" w:hAnsi="Arial Narrow" w:cs="Arial Narrow"/>
          <w:sz w:val="24"/>
          <w:szCs w:val="24"/>
        </w:rPr>
        <w:t xml:space="preserve">En 2025, la Table rassemble 47 regroupements nationaux, actifs à la grandeur du Québec. Ceux-ci abordent la santé et les services sociaux sous différentes perspectives : femmes, jeunes, hébergement, famille, personnes handicapées, communautés ethnoculturelles, sécurité alimentaire, santé mentale, violence, périnatalité, toxicomanie, etc. À travers ses membres, la Table rejoint plus de 3 000 groupes communautaires de base de toutes les régions. Ce sont par exemple des maisons de jeunes, des centres de femmes, des cuisines collectives, des maisons d’hébergement, des groupes d’entraide, des centres communautaires, des groupes qui luttent contre des injustices, etc. </w:t>
      </w:r>
    </w:p>
    <w:p w14:paraId="78F18B6D" w14:textId="77777777" w:rsidR="004819E5" w:rsidRPr="00461F9F" w:rsidRDefault="004819E5" w:rsidP="004535F2">
      <w:pPr>
        <w:spacing w:before="100" w:beforeAutospacing="1" w:after="100" w:afterAutospacing="1" w:line="240" w:lineRule="auto"/>
        <w:ind w:right="44"/>
        <w:jc w:val="both"/>
        <w:rPr>
          <w:rFonts w:ascii="Arial Narrow" w:eastAsia="Arial Narrow" w:hAnsi="Arial Narrow" w:cs="Arial Narrow"/>
          <w:color w:val="000000"/>
          <w:sz w:val="24"/>
          <w:szCs w:val="24"/>
        </w:rPr>
      </w:pPr>
      <w:r w:rsidRPr="00461F9F">
        <w:rPr>
          <w:rFonts w:ascii="Arial Narrow" w:eastAsia="Arial Narrow" w:hAnsi="Arial Narrow" w:cs="Arial Narrow"/>
          <w:noProof/>
          <w:sz w:val="24"/>
          <w:szCs w:val="24"/>
        </w:rPr>
        <w:drawing>
          <wp:inline distT="0" distB="0" distL="0" distR="0" wp14:anchorId="4674592E" wp14:editId="788E1306">
            <wp:extent cx="5943600" cy="2090420"/>
            <wp:effectExtent l="0" t="0" r="0" b="5080"/>
            <wp:docPr id="9816303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0348" name="Image 9816303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90420"/>
                    </a:xfrm>
                    <a:prstGeom prst="rect">
                      <a:avLst/>
                    </a:prstGeom>
                  </pic:spPr>
                </pic:pic>
              </a:graphicData>
            </a:graphic>
          </wp:inline>
        </w:drawing>
      </w:r>
      <w:r w:rsidRPr="00461F9F">
        <w:rPr>
          <w:rFonts w:ascii="Arial Narrow" w:eastAsia="Arial Narrow" w:hAnsi="Arial Narrow" w:cs="Arial Narrow"/>
          <w:color w:val="000000"/>
          <w:sz w:val="24"/>
          <w:szCs w:val="24"/>
        </w:rPr>
        <w:t xml:space="preserve">Par, pour et avec les communautés dont ils sont issus, les organismes communautaires autonomes du domaine de la santé et des services sociaux sont autant de réponses collectives à une quête de justice sociale. Avec leurs actions innovatrices, leurs pratiques originales et leur vision globale, ils atteignent tous les milieux et constituent des ressources aussi variées qu’essentielles. Plus de deux millions de citoyennes et citoyens s’y retrouvent pour renforcer des milliers de communautés. </w:t>
      </w:r>
    </w:p>
    <w:p w14:paraId="657EC60A"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Lieu de mobilisation, de concertation et de réflexion, la Table développe des analyses critiques portant sur différents aspects entourant le système de santé et de services sociaux en général, de même que sur toute politique pouvant avoir un impact sur la santé et le bien-être de la population. Interlocutrice du ministère de la Santé et des Services sociaux, la Table collabore fréquemment à tous travaux nécessitant son apport. Ainsi, elle intervient régulièrement sur différents enjeux, dont celui du fonctionnement du Programme de soutien aux organismes communautaires (PSOC), et ce, tant auprès des ministres responsables que des fonctionnaires. </w:t>
      </w:r>
    </w:p>
    <w:p w14:paraId="4B8047C5"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lastRenderedPageBreak/>
        <w:t>La Table interagit également avec d’autres instances gouvernementales, ainsi qu’auprès de l’ensemble des membres de l’Assemblée nationale. Dans toutes ses interventions, la Table vise à assurer la reconnaissance, le financement et l’autonomie des organismes communautaires autonomes du domaine de la santé et des services sociaux (OCASSS), de même que ceux de l’ensemble du mouvement communautaire autonome québécois.</w:t>
      </w:r>
    </w:p>
    <w:p w14:paraId="134E3E1D" w14:textId="0F74E0E1"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La Table facilite notamment l’information des groupes et regroupements ainsi que leur participation lors de consultations. La contribution de la Table porte également sur l’application de la </w:t>
      </w:r>
      <w:hyperlink r:id="rId22" w:history="1">
        <w:r w:rsidR="005F3613" w:rsidRPr="00461F9F">
          <w:rPr>
            <w:rStyle w:val="Hyperlien"/>
            <w:rFonts w:ascii="Arial Narrow" w:hAnsi="Arial Narrow"/>
            <w:i/>
            <w:iCs/>
            <w:sz w:val="24"/>
            <w:szCs w:val="24"/>
          </w:rPr>
          <w:t>Politique gouvernementale</w:t>
        </w:r>
        <w:r w:rsidR="002B4351" w:rsidRPr="00461F9F">
          <w:rPr>
            <w:rStyle w:val="Hyperlien"/>
            <w:rFonts w:ascii="Arial Narrow" w:hAnsi="Arial Narrow"/>
            <w:i/>
            <w:iCs/>
            <w:sz w:val="24"/>
            <w:szCs w:val="24"/>
          </w:rPr>
          <w:t xml:space="preserve"> de l</w:t>
        </w:r>
        <w:r w:rsidR="005F3613" w:rsidRPr="00461F9F">
          <w:rPr>
            <w:rStyle w:val="Hyperlien"/>
            <w:rFonts w:ascii="Arial Narrow" w:hAnsi="Arial Narrow"/>
            <w:i/>
            <w:iCs/>
            <w:sz w:val="24"/>
            <w:szCs w:val="24"/>
          </w:rPr>
          <w:t>’action communautaire</w:t>
        </w:r>
      </w:hyperlink>
      <w:r w:rsidRPr="00461F9F">
        <w:rPr>
          <w:rFonts w:ascii="Arial Narrow" w:eastAsia="Arial Narrow" w:hAnsi="Arial Narrow" w:cs="Arial Narrow"/>
          <w:color w:val="000000"/>
          <w:sz w:val="24"/>
          <w:szCs w:val="24"/>
        </w:rPr>
        <w:t xml:space="preserve"> de 2001 (Politique) et sur les manières d’assurer l’équité de traitement des groupes recevant du financement du PSOC.</w:t>
      </w:r>
    </w:p>
    <w:p w14:paraId="3BB1A771" w14:textId="170827DB"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Très active pour améliorer le fonctionnement et l’équité au sein du PSOC, la Table intervient de plus de différentes manières pour obtenir un rehaussement significatif du financement du Programme et </w:t>
      </w:r>
      <w:r w:rsidR="00E43589" w:rsidRPr="00461F9F">
        <w:rPr>
          <w:rFonts w:ascii="Arial Narrow" w:eastAsia="Arial Narrow" w:hAnsi="Arial Narrow" w:cs="Arial Narrow"/>
          <w:color w:val="000000"/>
          <w:sz w:val="24"/>
          <w:szCs w:val="24"/>
        </w:rPr>
        <w:t>l'</w:t>
      </w:r>
      <w:r w:rsidRPr="00461F9F">
        <w:rPr>
          <w:rFonts w:ascii="Arial Narrow" w:eastAsia="Arial Narrow" w:hAnsi="Arial Narrow" w:cs="Arial Narrow"/>
          <w:color w:val="000000"/>
          <w:sz w:val="24"/>
          <w:szCs w:val="24"/>
        </w:rPr>
        <w:t>indexation annuelle des subventions en fonction de l'Indice des coûts de fonctionnement du communautaire (en remplacement de l’Indice des prix à la consommation qui n’est pas adapté).</w:t>
      </w:r>
    </w:p>
    <w:p w14:paraId="297169C7"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La Table soutient les regroupements provinciaux qui en sont membres, ce qui rejaillit sur les groupes de base dans toutes les régions du Québec. Elle facilite le partage des expertises entre les regroupements ainsi qu’entre les groupes eux-mêmes, notamment par ses outils de communication. </w:t>
      </w:r>
    </w:p>
    <w:p w14:paraId="7EF3B4F5"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Les interventions de la Table visent l’amélioration globale de la société. De tout temps, elle est intervenue sur les sujets d’intérêt public que sont les programmes sociaux, les services publics, le respect des droits, notamment d’association, et évidemment sur les conditions de vie et de travail de la population. Elle agit soit à l’intérieur des coalitions dont elle est membre, soit sur ses propres bases. </w:t>
      </w:r>
    </w:p>
    <w:p w14:paraId="667207A6"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Depuis ses débuts, la Table s’allie activement à plusieurs instances des mouvements communautaires et syndicaux dans lesquelles elle défend particulièrement les enjeux liés à la santé, au maintien de l'autonomie des groupes communautaires et à la défense des droits de la population en général. Elle est membre active du </w:t>
      </w:r>
      <w:r w:rsidRPr="00461F9F">
        <w:rPr>
          <w:rFonts w:ascii="Arial Narrow" w:eastAsia="Arial Narrow" w:hAnsi="Arial Narrow" w:cs="Arial Narrow"/>
          <w:i/>
          <w:color w:val="000000"/>
          <w:sz w:val="24"/>
          <w:szCs w:val="24"/>
        </w:rPr>
        <w:t>Réseau québécois de l’action communautaire autonome</w:t>
      </w:r>
      <w:r w:rsidRPr="00461F9F">
        <w:rPr>
          <w:rFonts w:ascii="Arial Narrow" w:eastAsia="Arial Narrow" w:hAnsi="Arial Narrow" w:cs="Arial Narrow"/>
          <w:color w:val="000000"/>
          <w:sz w:val="24"/>
          <w:szCs w:val="24"/>
        </w:rPr>
        <w:t xml:space="preserve"> (depuis sa création en 1996), de la </w:t>
      </w:r>
      <w:r w:rsidRPr="00461F9F">
        <w:rPr>
          <w:rFonts w:ascii="Arial Narrow" w:eastAsia="Arial Narrow" w:hAnsi="Arial Narrow" w:cs="Arial Narrow"/>
          <w:i/>
          <w:color w:val="000000"/>
          <w:sz w:val="24"/>
          <w:szCs w:val="24"/>
        </w:rPr>
        <w:t>Coalition Solidarité Santé</w:t>
      </w:r>
      <w:r w:rsidRPr="00461F9F">
        <w:rPr>
          <w:rFonts w:ascii="Arial Narrow" w:eastAsia="Arial Narrow" w:hAnsi="Arial Narrow" w:cs="Arial Narrow"/>
          <w:color w:val="000000"/>
          <w:sz w:val="24"/>
          <w:szCs w:val="24"/>
        </w:rPr>
        <w:t xml:space="preserve"> (depuis sa création en 1991), de la </w:t>
      </w:r>
      <w:r w:rsidRPr="00461F9F">
        <w:rPr>
          <w:rFonts w:ascii="Arial Narrow" w:eastAsia="Arial Narrow" w:hAnsi="Arial Narrow" w:cs="Arial Narrow"/>
          <w:i/>
          <w:color w:val="000000"/>
          <w:sz w:val="24"/>
          <w:szCs w:val="24"/>
        </w:rPr>
        <w:t>Coalition Main Rouge</w:t>
      </w:r>
      <w:r w:rsidRPr="00461F9F">
        <w:rPr>
          <w:rFonts w:ascii="Arial Narrow" w:eastAsia="Arial Narrow" w:hAnsi="Arial Narrow" w:cs="Arial Narrow"/>
          <w:color w:val="000000"/>
          <w:sz w:val="24"/>
          <w:szCs w:val="24"/>
        </w:rPr>
        <w:t xml:space="preserve"> (depuis sa création en 2009) et de la </w:t>
      </w:r>
      <w:r w:rsidRPr="00461F9F">
        <w:rPr>
          <w:rFonts w:ascii="Arial Narrow" w:eastAsia="Arial Narrow" w:hAnsi="Arial Narrow" w:cs="Arial Narrow"/>
          <w:i/>
          <w:color w:val="000000"/>
          <w:sz w:val="24"/>
          <w:szCs w:val="24"/>
        </w:rPr>
        <w:t>Ligue des droits et libertés</w:t>
      </w:r>
      <w:r w:rsidRPr="00461F9F">
        <w:rPr>
          <w:rFonts w:ascii="Arial Narrow" w:eastAsia="Arial Narrow" w:hAnsi="Arial Narrow" w:cs="Arial Narrow"/>
          <w:color w:val="000000"/>
          <w:sz w:val="24"/>
          <w:szCs w:val="24"/>
        </w:rPr>
        <w:t xml:space="preserve"> (depuis 2010).</w:t>
      </w:r>
    </w:p>
    <w:p w14:paraId="3F9C53D4" w14:textId="77777777" w:rsidR="004819E5" w:rsidRPr="00461F9F" w:rsidRDefault="004819E5" w:rsidP="004535F2">
      <w:pPr>
        <w:pBdr>
          <w:top w:val="nil"/>
          <w:left w:val="nil"/>
          <w:bottom w:val="nil"/>
          <w:right w:val="nil"/>
          <w:between w:val="nil"/>
        </w:pBdr>
        <w:spacing w:before="100" w:beforeAutospacing="1" w:after="100" w:afterAutospacing="1" w:line="240" w:lineRule="auto"/>
        <w:jc w:val="both"/>
        <w:rPr>
          <w:rFonts w:ascii="Arial Narrow" w:eastAsia="Arial Narrow" w:hAnsi="Arial Narrow" w:cs="Arial Narrow"/>
          <w:b/>
          <w:color w:val="000000"/>
          <w:sz w:val="24"/>
          <w:szCs w:val="24"/>
        </w:rPr>
      </w:pPr>
      <w:r w:rsidRPr="00461F9F">
        <w:rPr>
          <w:rFonts w:ascii="Arial Narrow" w:eastAsia="Arial Narrow" w:hAnsi="Arial Narrow" w:cs="Arial Narrow"/>
          <w:b/>
          <w:color w:val="000000"/>
          <w:sz w:val="24"/>
          <w:szCs w:val="24"/>
        </w:rPr>
        <w:t>Composition du comité exécutif de la Table :</w:t>
      </w:r>
    </w:p>
    <w:p w14:paraId="6B48D4C3"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bookmarkStart w:id="12" w:name="_heading=h.30j0zll" w:colFirst="0" w:colLast="0"/>
      <w:bookmarkStart w:id="13" w:name="_Hlk124245659"/>
      <w:bookmarkEnd w:id="12"/>
      <w:r w:rsidRPr="00461F9F">
        <w:rPr>
          <w:rFonts w:ascii="Arial Narrow" w:eastAsia="Arial Narrow" w:hAnsi="Arial Narrow" w:cs="Arial Narrow"/>
          <w:color w:val="000000"/>
          <w:sz w:val="24"/>
          <w:szCs w:val="24"/>
        </w:rPr>
        <w:t xml:space="preserve">Stéphanie Vallée, L’R des centres de femmes du Québec, présidente; </w:t>
      </w:r>
    </w:p>
    <w:p w14:paraId="64173A7E"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Michel-Alexandre Cauchon, Fédération des centres d’action bénévole du Québec, trésorier; </w:t>
      </w:r>
    </w:p>
    <w:p w14:paraId="6A2BE523"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Audrey Sirois, secrétaire, Regroupement des organismes communautaires québécois pour le travail de rue</w:t>
      </w:r>
    </w:p>
    <w:p w14:paraId="3102691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Janie Bergeron, Regroupement des organismes ESPACE du Québec</w:t>
      </w:r>
    </w:p>
    <w:p w14:paraId="4486C7D0"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Julie Laflamme-</w:t>
      </w:r>
      <w:proofErr w:type="spellStart"/>
      <w:r w:rsidRPr="00461F9F">
        <w:rPr>
          <w:rFonts w:ascii="Arial Narrow" w:eastAsia="Arial Narrow" w:hAnsi="Arial Narrow" w:cs="Arial Narrow"/>
          <w:color w:val="000000"/>
          <w:sz w:val="24"/>
          <w:szCs w:val="24"/>
        </w:rPr>
        <w:t>Desgroseillers</w:t>
      </w:r>
      <w:proofErr w:type="spellEnd"/>
      <w:r w:rsidRPr="00461F9F">
        <w:rPr>
          <w:rFonts w:ascii="Arial Narrow" w:eastAsia="Arial Narrow" w:hAnsi="Arial Narrow" w:cs="Arial Narrow"/>
          <w:color w:val="000000"/>
          <w:sz w:val="24"/>
          <w:szCs w:val="24"/>
        </w:rPr>
        <w:t>. TAPAJ Québec</w:t>
      </w:r>
    </w:p>
    <w:p w14:paraId="01AC4757"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Marjolaine Tapin, Connexion TCC</w:t>
      </w:r>
    </w:p>
    <w:bookmarkEnd w:id="13"/>
    <w:p w14:paraId="493980BD" w14:textId="77777777" w:rsidR="004819E5" w:rsidRPr="00461F9F" w:rsidRDefault="004819E5" w:rsidP="004535F2">
      <w:pPr>
        <w:spacing w:before="100" w:beforeAutospacing="1" w:after="100" w:afterAutospacing="1" w:line="240" w:lineRule="auto"/>
        <w:jc w:val="both"/>
        <w:rPr>
          <w:rFonts w:ascii="Arial Narrow" w:eastAsia="Arial Narrow" w:hAnsi="Arial Narrow" w:cs="Arial Narrow"/>
          <w:sz w:val="24"/>
          <w:szCs w:val="24"/>
        </w:rPr>
      </w:pPr>
      <w:r w:rsidRPr="00461F9F">
        <w:rPr>
          <w:rFonts w:ascii="Arial Narrow" w:eastAsia="Arial Narrow" w:hAnsi="Arial Narrow" w:cs="Arial Narrow"/>
          <w:b/>
          <w:sz w:val="24"/>
          <w:szCs w:val="24"/>
        </w:rPr>
        <w:t xml:space="preserve">Coordonnatrice : </w:t>
      </w:r>
      <w:r w:rsidRPr="00461F9F">
        <w:rPr>
          <w:rFonts w:ascii="Arial Narrow" w:eastAsia="Arial Narrow" w:hAnsi="Arial Narrow" w:cs="Arial Narrow"/>
          <w:sz w:val="24"/>
          <w:szCs w:val="24"/>
        </w:rPr>
        <w:t xml:space="preserve">Mercédez Roberge, 514-690-7826, </w:t>
      </w:r>
      <w:hyperlink r:id="rId23" w:history="1">
        <w:r w:rsidRPr="00461F9F">
          <w:rPr>
            <w:rStyle w:val="Hyperlien"/>
            <w:rFonts w:ascii="Arial Narrow" w:hAnsi="Arial Narrow"/>
            <w:sz w:val="24"/>
            <w:szCs w:val="24"/>
          </w:rPr>
          <w:t>coordination@trpocb.org</w:t>
        </w:r>
      </w:hyperlink>
      <w:r w:rsidRPr="00461F9F">
        <w:rPr>
          <w:rFonts w:ascii="Arial Narrow" w:eastAsia="Arial Narrow" w:hAnsi="Arial Narrow" w:cs="Arial Narrow"/>
          <w:sz w:val="24"/>
          <w:szCs w:val="24"/>
        </w:rPr>
        <w:t xml:space="preserve"> </w:t>
      </w:r>
      <w:bookmarkStart w:id="14" w:name="_heading=h.1fob9te" w:colFirst="0" w:colLast="0"/>
      <w:bookmarkEnd w:id="14"/>
    </w:p>
    <w:p w14:paraId="3E0CABFA" w14:textId="77777777" w:rsidR="004819E5" w:rsidRPr="00461F9F" w:rsidRDefault="004819E5" w:rsidP="004535F2">
      <w:pPr>
        <w:pStyle w:val="Normalpuces"/>
        <w:tabs>
          <w:tab w:val="clear" w:pos="284"/>
        </w:tabs>
        <w:spacing w:before="100" w:beforeAutospacing="1" w:after="100" w:afterAutospacing="1"/>
        <w:rPr>
          <w:b/>
          <w:color w:val="365F91" w:themeColor="accent1" w:themeShade="BF"/>
          <w:sz w:val="28"/>
          <w:szCs w:val="28"/>
        </w:rPr>
      </w:pPr>
      <w:r w:rsidRPr="00461F9F">
        <w:rPr>
          <w:b/>
          <w:color w:val="365F91" w:themeColor="accent1" w:themeShade="BF"/>
          <w:sz w:val="28"/>
          <w:szCs w:val="28"/>
        </w:rPr>
        <w:lastRenderedPageBreak/>
        <w:t>Les regroupements membres de la Table contribuent à la vie démocratique québécoise et à la transformation sociale</w:t>
      </w:r>
    </w:p>
    <w:p w14:paraId="072E7415" w14:textId="77777777" w:rsidR="004819E5" w:rsidRPr="00461F9F" w:rsidRDefault="004819E5" w:rsidP="004535F2">
      <w:pPr>
        <w:spacing w:before="100" w:beforeAutospacing="1" w:after="100" w:afterAutospacing="1" w:line="240" w:lineRule="auto"/>
        <w:jc w:val="both"/>
        <w:rPr>
          <w:rFonts w:ascii="Arial Narrow" w:hAnsi="Arial Narrow"/>
          <w:sz w:val="24"/>
          <w:szCs w:val="24"/>
        </w:rPr>
      </w:pPr>
      <w:r w:rsidRPr="00461F9F">
        <w:rPr>
          <w:rFonts w:ascii="Arial Narrow" w:hAnsi="Arial Narrow"/>
          <w:sz w:val="24"/>
          <w:szCs w:val="24"/>
        </w:rPr>
        <w:t xml:space="preserve">Les regroupements provinciaux démontrent quotidiennement la valeur de leurs analyses et l’importance de leur apport à la société québécoise. Ils jouent un rôle essentiel tant auprès de la population qu’auprès de leurs membres, par leur rayonnement, leurs expertises et les alliances qu’ils forment au sein de divers mouvements sociaux : </w:t>
      </w:r>
    </w:p>
    <w:tbl>
      <w:tblPr>
        <w:tblW w:w="0" w:type="auto"/>
        <w:tblInd w:w="-12" w:type="dxa"/>
        <w:tblLook w:val="01E0" w:firstRow="1" w:lastRow="1" w:firstColumn="1" w:lastColumn="1" w:noHBand="0" w:noVBand="0"/>
      </w:tblPr>
      <w:tblGrid>
        <w:gridCol w:w="4689"/>
        <w:gridCol w:w="4843"/>
      </w:tblGrid>
      <w:tr w:rsidR="004819E5" w:rsidRPr="00461F9F" w14:paraId="392525AB" w14:textId="77777777" w:rsidTr="003F1DAF">
        <w:trPr>
          <w:trHeight w:val="3417"/>
        </w:trPr>
        <w:tc>
          <w:tcPr>
            <w:tcW w:w="0" w:type="auto"/>
          </w:tcPr>
          <w:p w14:paraId="1C281070"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regroupant des milliers d’organismes répartis dans toutes les régions québécoises;</w:t>
            </w:r>
          </w:p>
          <w:p w14:paraId="480B651D"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favorisant la participation de milliers de citoyens et de citoyennes aux débats de société, en plus d’y contribuer comme regroupements</w:t>
            </w:r>
          </w:p>
          <w:p w14:paraId="7832EDDC"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agissant en amont des difficultés par leur travail au niveau de la prévention et de la promotion de la santé globale des personnes et de la société;</w:t>
            </w:r>
          </w:p>
          <w:p w14:paraId="54DC1971"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s’alliant aux divers mouvements sociaux, notamment pour s’opposer à la marchandisation et à la privatisation des services publics;</w:t>
            </w:r>
          </w:p>
          <w:p w14:paraId="1AC8DC18"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favorisant l’exercice de la démocratie au sein des groupes et dans la société en général;</w:t>
            </w:r>
          </w:p>
          <w:p w14:paraId="26B0489B"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participant à de nombreuses instances consultatives gouvernementales et en facilitant la participation des groupes de base, autant que de la population;</w:t>
            </w:r>
          </w:p>
        </w:tc>
        <w:tc>
          <w:tcPr>
            <w:tcW w:w="0" w:type="auto"/>
          </w:tcPr>
          <w:p w14:paraId="53DE2B83"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défendant l’autonomie, les pratiques du mouvement communautaire autonome et leur apport à la société;</w:t>
            </w:r>
          </w:p>
          <w:p w14:paraId="0D382C31"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renforçant la capacité d’agir des communautés et la solidarité, par une approche « PAR-POUR-AVEC »;</w:t>
            </w:r>
          </w:p>
          <w:p w14:paraId="3F0400FC"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agissant dans une visée de transformation sociale et d’éducation populaire;</w:t>
            </w:r>
          </w:p>
          <w:p w14:paraId="17A68B55"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s’opposant aux mesures et décisions qui appauvrissent la population et détruisent le filet social et compromettent le respect et l’exercice des droits économiques et sociaux;</w:t>
            </w:r>
          </w:p>
          <w:p w14:paraId="6B3BEFCD"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défendant les intérêts de la population dans son ensemble, et non des intérêts spécifiques ou corporatistes; </w:t>
            </w:r>
          </w:p>
          <w:p w14:paraId="756B86F4" w14:textId="77777777" w:rsidR="004819E5" w:rsidRPr="00461F9F" w:rsidRDefault="004819E5" w:rsidP="00461F9F">
            <w:pPr>
              <w:pStyle w:val="Normalpuces"/>
              <w:numPr>
                <w:ilvl w:val="0"/>
                <w:numId w:val="5"/>
              </w:numPr>
              <w:spacing w:before="100" w:beforeAutospacing="1" w:after="100" w:afterAutospacing="1"/>
              <w:ind w:left="345" w:hanging="345"/>
              <w:jc w:val="both"/>
              <w:rPr>
                <w:sz w:val="24"/>
              </w:rPr>
            </w:pPr>
            <w:proofErr w:type="gramStart"/>
            <w:r w:rsidRPr="00461F9F">
              <w:rPr>
                <w:sz w:val="24"/>
              </w:rPr>
              <w:t>en</w:t>
            </w:r>
            <w:proofErr w:type="gramEnd"/>
            <w:r w:rsidRPr="00461F9F">
              <w:rPr>
                <w:sz w:val="24"/>
              </w:rPr>
              <w:t xml:space="preserve"> incitant l’État à assumer pleinement ses responsabilités envers la population et en le tenant redevable envers celle-ci.</w:t>
            </w:r>
          </w:p>
        </w:tc>
      </w:tr>
    </w:tbl>
    <w:p w14:paraId="6122E1AB" w14:textId="77777777" w:rsidR="004819E5" w:rsidRPr="00461F9F" w:rsidRDefault="004819E5" w:rsidP="004535F2">
      <w:pPr>
        <w:pStyle w:val="Normalpuces"/>
        <w:tabs>
          <w:tab w:val="clear" w:pos="284"/>
        </w:tabs>
        <w:spacing w:before="100" w:beforeAutospacing="1" w:after="100" w:afterAutospacing="1"/>
        <w:rPr>
          <w:b/>
          <w:color w:val="365F91" w:themeColor="accent1" w:themeShade="BF"/>
          <w:sz w:val="28"/>
          <w:szCs w:val="28"/>
        </w:rPr>
      </w:pPr>
      <w:r w:rsidRPr="00461F9F">
        <w:rPr>
          <w:b/>
          <w:color w:val="365F91" w:themeColor="accent1" w:themeShade="BF"/>
          <w:sz w:val="28"/>
          <w:szCs w:val="28"/>
        </w:rPr>
        <w:t>Les 47 regroupements membres de la Table interviennent sur des thématiques spécifiques et de diverses manières</w:t>
      </w:r>
    </w:p>
    <w:p w14:paraId="12384114" w14:textId="77777777" w:rsidR="004819E5" w:rsidRPr="00461F9F" w:rsidRDefault="004819E5" w:rsidP="004535F2">
      <w:pPr>
        <w:pStyle w:val="Normalpuces"/>
        <w:tabs>
          <w:tab w:val="clear" w:pos="284"/>
        </w:tabs>
        <w:spacing w:before="100" w:beforeAutospacing="1" w:after="100" w:afterAutospacing="1"/>
        <w:rPr>
          <w:b/>
          <w:sz w:val="24"/>
        </w:rPr>
      </w:pPr>
      <w:bookmarkStart w:id="15" w:name="_Hlk125546604"/>
      <w:r w:rsidRPr="00461F9F">
        <w:rPr>
          <w:b/>
          <w:sz w:val="24"/>
        </w:rPr>
        <w:t>En soutien aux femmes, aux jeunes, aux familles, aux personnes aînées, aux communautés ethnoculturelles par l’entraide, l’</w:t>
      </w:r>
      <w:proofErr w:type="spellStart"/>
      <w:r w:rsidRPr="00461F9F">
        <w:rPr>
          <w:b/>
          <w:sz w:val="24"/>
        </w:rPr>
        <w:t>empowerment</w:t>
      </w:r>
      <w:proofErr w:type="spellEnd"/>
      <w:r w:rsidRPr="00461F9F">
        <w:rPr>
          <w:b/>
          <w:sz w:val="24"/>
        </w:rPr>
        <w:t xml:space="preserve"> et par des lieux pour briser l’isolement :</w:t>
      </w:r>
    </w:p>
    <w:p w14:paraId="13255B95"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ACCÉSSS | Alliance des communautés </w:t>
      </w:r>
      <w:r w:rsidRPr="00461F9F">
        <w:rPr>
          <w:rFonts w:ascii="Arial Narrow" w:eastAsia="Arial Narrow" w:hAnsi="Arial Narrow" w:cs="Arial Narrow"/>
          <w:color w:val="000000"/>
          <w:sz w:val="24"/>
          <w:szCs w:val="24"/>
        </w:rPr>
        <w:t>culturelles pour l’égalité dans la santé et les services sociaux </w:t>
      </w:r>
    </w:p>
    <w:p w14:paraId="1B372944"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AQCCA | Association québécoise des centres communautaires pour aînés </w:t>
      </w:r>
    </w:p>
    <w:p w14:paraId="2E36C9C8"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FAFMRQ | Fédération des associations de familles monoparentales et recomposées du Québec </w:t>
      </w:r>
    </w:p>
    <w:p w14:paraId="06E7BA5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FCABQ | Fédération des centres d’action bénévole du Québec </w:t>
      </w:r>
    </w:p>
    <w:p w14:paraId="02E4C71F"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L’R des Centres de femmes du Québec </w:t>
      </w:r>
    </w:p>
    <w:p w14:paraId="1DB79B20"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RMJQ | Regroupement des maisons des jeunes du Québec</w:t>
      </w:r>
    </w:p>
    <w:p w14:paraId="27C6CA35"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ROCAJQ | Regroupement des organismes communautaires autonomes jeunesse du Québec</w:t>
      </w:r>
    </w:p>
    <w:p w14:paraId="10482AD9"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RQASF | Réseau québécois d’action pour la santé</w:t>
      </w:r>
      <w:r w:rsidRPr="00461F9F">
        <w:rPr>
          <w:rFonts w:ascii="Arial Narrow" w:hAnsi="Arial Narrow" w:cs="Calibri"/>
          <w:color w:val="000000"/>
          <w:sz w:val="24"/>
          <w:szCs w:val="24"/>
        </w:rPr>
        <w:t xml:space="preserve"> des femmes </w:t>
      </w:r>
    </w:p>
    <w:p w14:paraId="3BA08745"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lastRenderedPageBreak/>
        <w:t>En soutien aux personnes aux prises avec des problèmes de santé mentale, de santé physique, de dépendances, d’itinérance, de discriminations, des personnes en situation de handicap, par des actions visant la fin des exclusions liées à ces conditions, par des ressources variées, la défense de leurs droits, l’entraide, etc.</w:t>
      </w:r>
    </w:p>
    <w:p w14:paraId="18724400"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AGIDD-SMQ | Association des </w:t>
      </w:r>
      <w:r w:rsidRPr="00461F9F">
        <w:rPr>
          <w:rFonts w:ascii="Arial Narrow" w:eastAsia="Arial Narrow" w:hAnsi="Arial Narrow" w:cs="Arial Narrow"/>
          <w:color w:val="000000"/>
          <w:sz w:val="24"/>
          <w:szCs w:val="24"/>
        </w:rPr>
        <w:t xml:space="preserve">groupes d’intervention en défense des droits en santé mentale du Québec </w:t>
      </w:r>
    </w:p>
    <w:p w14:paraId="72A776FC"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Aphasie Québec — Le réseau </w:t>
      </w:r>
    </w:p>
    <w:p w14:paraId="1D8C8A39"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AQCID | Association québécoise des centres d’intervention en dépendance </w:t>
      </w:r>
    </w:p>
    <w:p w14:paraId="339F7D1B"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CAP Santé mentale | Confédération des associations de proches en santé mentale du Québec</w:t>
      </w:r>
    </w:p>
    <w:p w14:paraId="088F4AD4"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COCQ-SIDA | Coalition des organismes communautaires québécois de lutte contre le SIDA </w:t>
      </w:r>
    </w:p>
    <w:p w14:paraId="7C366E92"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proofErr w:type="spellStart"/>
      <w:r w:rsidRPr="00461F9F">
        <w:rPr>
          <w:rFonts w:ascii="Arial Narrow" w:eastAsia="Arial Narrow" w:hAnsi="Arial Narrow" w:cs="Arial Narrow"/>
          <w:color w:val="000000"/>
          <w:sz w:val="24"/>
          <w:szCs w:val="24"/>
        </w:rPr>
        <w:t>Connexion.TCC</w:t>
      </w:r>
      <w:proofErr w:type="spellEnd"/>
      <w:r w:rsidRPr="00461F9F">
        <w:rPr>
          <w:rFonts w:ascii="Arial Narrow" w:eastAsia="Arial Narrow" w:hAnsi="Arial Narrow" w:cs="Arial Narrow"/>
          <w:color w:val="000000"/>
          <w:sz w:val="24"/>
          <w:szCs w:val="24"/>
        </w:rPr>
        <w:t xml:space="preserve"> — Regroupement des associations de personnes traumatisées craniocérébrales du Québec </w:t>
      </w:r>
    </w:p>
    <w:p w14:paraId="4F3CC2C9"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Fédération </w:t>
      </w:r>
      <w:proofErr w:type="spellStart"/>
      <w:r w:rsidRPr="00461F9F">
        <w:rPr>
          <w:rFonts w:ascii="Arial Narrow" w:eastAsia="Arial Narrow" w:hAnsi="Arial Narrow" w:cs="Arial Narrow"/>
          <w:color w:val="000000"/>
          <w:sz w:val="24"/>
          <w:szCs w:val="24"/>
        </w:rPr>
        <w:t>GymnO</w:t>
      </w:r>
      <w:proofErr w:type="spellEnd"/>
      <w:r w:rsidRPr="00461F9F">
        <w:rPr>
          <w:rFonts w:ascii="Arial Narrow" w:eastAsia="Arial Narrow" w:hAnsi="Arial Narrow" w:cs="Arial Narrow"/>
          <w:color w:val="000000"/>
          <w:sz w:val="24"/>
          <w:szCs w:val="24"/>
        </w:rPr>
        <w:t xml:space="preserve"> du Québec </w:t>
      </w:r>
    </w:p>
    <w:p w14:paraId="69097AA6"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MSMQ | Mouvement santé mentale Québec </w:t>
      </w:r>
    </w:p>
    <w:p w14:paraId="2BB32625"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Regroupement des associations de parents PANDA du Québec </w:t>
      </w:r>
    </w:p>
    <w:p w14:paraId="12CB2C3E"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ROCQTR | Regroupement des organismes communautaires québécois pour le travail de rue </w:t>
      </w:r>
    </w:p>
    <w:p w14:paraId="176CEEFD"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RRASMQ | Regroupement des ressources alternatives en santé mentale du Québec </w:t>
      </w:r>
    </w:p>
    <w:p w14:paraId="491916AF"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RSIQ | Réseau solidarité itinérance Québec </w:t>
      </w:r>
    </w:p>
    <w:p w14:paraId="628808F2"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SQF | Société québécoise de la fibromyalgie</w:t>
      </w:r>
    </w:p>
    <w:p w14:paraId="17CC0FCC"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TAPAJ Québec</w:t>
      </w:r>
    </w:p>
    <w:p w14:paraId="0A86BD76"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VPQ | Victimes des Pesticides du Québec</w:t>
      </w:r>
    </w:p>
    <w:p w14:paraId="6E1EFBC1"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t>En matière de violence conjugale, familiale et sexuelle, en soutenant les femmes et les enfants qui en sont victimes par de l’hébergement, la sensibilisation de la population et l’éducation à la non-violence, par la défense des droits, etc. :</w:t>
      </w:r>
    </w:p>
    <w:p w14:paraId="35AD1B8B"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À cœur d’homme — Réseau d’aide </w:t>
      </w:r>
      <w:r w:rsidRPr="00461F9F">
        <w:rPr>
          <w:rFonts w:ascii="Arial Narrow" w:eastAsia="Arial Narrow" w:hAnsi="Arial Narrow" w:cs="Arial Narrow"/>
          <w:color w:val="000000"/>
          <w:sz w:val="24"/>
          <w:szCs w:val="24"/>
        </w:rPr>
        <w:t>aux hommes pour une société sans violence</w:t>
      </w:r>
    </w:p>
    <w:p w14:paraId="4D0663DC"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Alliance MH2 | Alliance des maisons d’hébergement de 2e étape pour femmes et enfants victimes de violence conjugale </w:t>
      </w:r>
    </w:p>
    <w:p w14:paraId="0931C9E3"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FMHF | Fédération des maisons d’hébergement pour femmes </w:t>
      </w:r>
    </w:p>
    <w:p w14:paraId="561AD092"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RACQ | Regroupement des auberges du cœur du Québec </w:t>
      </w:r>
    </w:p>
    <w:p w14:paraId="5DC05956"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RMFVVC | Regroupement des maisons pour femmes victimes de violence conjugale</w:t>
      </w:r>
    </w:p>
    <w:p w14:paraId="37303273"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ROEQ | Regroupement des organismes ESPACE du Québec </w:t>
      </w:r>
    </w:p>
    <w:p w14:paraId="4F0C496E"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RQCALACS | Regroupement québ</w:t>
      </w:r>
      <w:r w:rsidRPr="00461F9F">
        <w:rPr>
          <w:rFonts w:ascii="Arial Narrow" w:hAnsi="Arial Narrow" w:cs="Calibri"/>
          <w:color w:val="000000"/>
          <w:sz w:val="24"/>
          <w:szCs w:val="24"/>
        </w:rPr>
        <w:t>écois des Centres d’aide et de lutte contre les agressions à caractère sexuel </w:t>
      </w:r>
    </w:p>
    <w:p w14:paraId="2569F121"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t>En matière de planification des naissances, de périnatalité, de soutien à l’allaitement et de soutien aux parents de jeunes enfants :</w:t>
      </w:r>
    </w:p>
    <w:p w14:paraId="6C54559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FNS | Fédération Nourri-</w:t>
      </w:r>
      <w:r w:rsidRPr="00461F9F">
        <w:rPr>
          <w:rFonts w:ascii="Arial Narrow" w:eastAsia="Arial Narrow" w:hAnsi="Arial Narrow" w:cs="Arial Narrow"/>
          <w:color w:val="000000"/>
          <w:sz w:val="24"/>
          <w:szCs w:val="24"/>
        </w:rPr>
        <w:t>Source </w:t>
      </w:r>
    </w:p>
    <w:p w14:paraId="7A64F43F"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MAQ | Mouvement allaitement du Québec </w:t>
      </w:r>
    </w:p>
    <w:p w14:paraId="0DFB061B"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RCRPQ | Réseau des Centres de ressources périnatales du Québec</w:t>
      </w:r>
    </w:p>
    <w:p w14:paraId="7225FEF7"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RNR | Regroupement Naissa</w:t>
      </w:r>
      <w:r w:rsidRPr="00461F9F">
        <w:rPr>
          <w:rFonts w:ascii="Arial Narrow" w:hAnsi="Arial Narrow" w:cs="Calibri"/>
          <w:color w:val="000000"/>
          <w:sz w:val="24"/>
          <w:szCs w:val="24"/>
        </w:rPr>
        <w:t>nces-Respectées </w:t>
      </w:r>
    </w:p>
    <w:p w14:paraId="36B33CAC"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lastRenderedPageBreak/>
        <w:t>En situation d’urgence, par de l’écoute et du soutien aux personnes et dans la défense et l’expression de leurs droits : </w:t>
      </w:r>
    </w:p>
    <w:p w14:paraId="152B5E8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ACETQ | Association des </w:t>
      </w:r>
      <w:r w:rsidRPr="00461F9F">
        <w:rPr>
          <w:rFonts w:ascii="Arial Narrow" w:eastAsia="Arial Narrow" w:hAnsi="Arial Narrow" w:cs="Arial Narrow"/>
          <w:color w:val="000000"/>
          <w:sz w:val="24"/>
          <w:szCs w:val="24"/>
        </w:rPr>
        <w:t>centres d’écoute téléphonique du Québec </w:t>
      </w:r>
    </w:p>
    <w:p w14:paraId="3BD6959F"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AQPS | Association québécoise de prévention du suicide</w:t>
      </w:r>
    </w:p>
    <w:p w14:paraId="3236C529"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ASSOJAQ | Association des organismes de justice alternative du Québec </w:t>
      </w:r>
    </w:p>
    <w:p w14:paraId="7A368BE9"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proofErr w:type="spellStart"/>
      <w:r w:rsidRPr="00461F9F">
        <w:rPr>
          <w:rFonts w:ascii="Arial Narrow" w:eastAsia="Arial Narrow" w:hAnsi="Arial Narrow" w:cs="Arial Narrow"/>
          <w:color w:val="000000"/>
          <w:sz w:val="24"/>
          <w:szCs w:val="24"/>
        </w:rPr>
        <w:t>Équijustice</w:t>
      </w:r>
      <w:proofErr w:type="spellEnd"/>
      <w:r w:rsidRPr="00461F9F">
        <w:rPr>
          <w:rFonts w:ascii="Arial Narrow" w:eastAsia="Arial Narrow" w:hAnsi="Arial Narrow" w:cs="Arial Narrow"/>
          <w:color w:val="000000"/>
          <w:sz w:val="24"/>
          <w:szCs w:val="24"/>
        </w:rPr>
        <w:t> </w:t>
      </w:r>
    </w:p>
    <w:p w14:paraId="19A25791"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FCAAP | Fédération des Centres d’assistance et d’accompagnement aux plaintes </w:t>
      </w:r>
    </w:p>
    <w:p w14:paraId="04061B23"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RCPSQ | Regroupement des</w:t>
      </w:r>
      <w:r w:rsidRPr="00461F9F">
        <w:rPr>
          <w:rFonts w:ascii="Arial Narrow" w:hAnsi="Arial Narrow" w:cs="Calibri"/>
          <w:color w:val="000000"/>
          <w:sz w:val="24"/>
          <w:szCs w:val="24"/>
        </w:rPr>
        <w:t xml:space="preserve"> centres de prévention du suicide du Québec</w:t>
      </w:r>
    </w:p>
    <w:p w14:paraId="794BCFCC"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t>En matière de sécurité alimentaire :</w:t>
      </w:r>
    </w:p>
    <w:p w14:paraId="6C6FCD40"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BAQ | Banques </w:t>
      </w:r>
      <w:r w:rsidRPr="00461F9F">
        <w:rPr>
          <w:rFonts w:ascii="Arial Narrow" w:eastAsia="Arial Narrow" w:hAnsi="Arial Narrow" w:cs="Arial Narrow"/>
          <w:color w:val="000000"/>
          <w:sz w:val="24"/>
          <w:szCs w:val="24"/>
        </w:rPr>
        <w:t>Alimentaires du Québec </w:t>
      </w:r>
    </w:p>
    <w:p w14:paraId="1822121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RCCQ | Regroupement des cuisines collectives du Québec </w:t>
      </w:r>
    </w:p>
    <w:p w14:paraId="6E1D410A"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RPR | Regroupement des P</w:t>
      </w:r>
      <w:r w:rsidRPr="00461F9F">
        <w:rPr>
          <w:rFonts w:ascii="Arial Narrow" w:hAnsi="Arial Narrow" w:cs="Calibri"/>
          <w:color w:val="000000"/>
          <w:sz w:val="24"/>
          <w:szCs w:val="24"/>
        </w:rPr>
        <w:t xml:space="preserve">opotes roulantes </w:t>
      </w:r>
    </w:p>
    <w:p w14:paraId="7355156A" w14:textId="77777777" w:rsidR="004819E5" w:rsidRPr="00461F9F" w:rsidRDefault="004819E5" w:rsidP="004535F2">
      <w:pPr>
        <w:pStyle w:val="Normalpuces"/>
        <w:tabs>
          <w:tab w:val="clear" w:pos="284"/>
        </w:tabs>
        <w:spacing w:before="100" w:beforeAutospacing="1" w:after="100" w:afterAutospacing="1"/>
        <w:rPr>
          <w:b/>
          <w:sz w:val="24"/>
        </w:rPr>
      </w:pPr>
      <w:r w:rsidRPr="00461F9F">
        <w:rPr>
          <w:b/>
          <w:sz w:val="24"/>
        </w:rPr>
        <w:t>En soutien aux proches aidants, en favorisant le parrainage et l’entraide intergénérationnelle :</w:t>
      </w:r>
    </w:p>
    <w:p w14:paraId="22237C38"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hAnsi="Arial Narrow" w:cs="Calibri"/>
          <w:color w:val="000000"/>
          <w:sz w:val="24"/>
          <w:szCs w:val="24"/>
        </w:rPr>
        <w:t xml:space="preserve">Association des Grands </w:t>
      </w:r>
      <w:r w:rsidRPr="00461F9F">
        <w:rPr>
          <w:rFonts w:ascii="Arial Narrow" w:eastAsia="Arial Narrow" w:hAnsi="Arial Narrow" w:cs="Arial Narrow"/>
          <w:color w:val="000000"/>
          <w:sz w:val="24"/>
          <w:szCs w:val="24"/>
        </w:rPr>
        <w:t>Frères et des Grandes Sœurs du Québec </w:t>
      </w:r>
    </w:p>
    <w:p w14:paraId="46613BCC"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Intergénérations Québec </w:t>
      </w:r>
    </w:p>
    <w:p w14:paraId="1B3FD794"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eastAsia="Arial Narrow" w:hAnsi="Arial Narrow" w:cs="Arial Narrow"/>
          <w:color w:val="000000"/>
          <w:sz w:val="24"/>
          <w:szCs w:val="24"/>
        </w:rPr>
      </w:pPr>
      <w:r w:rsidRPr="00461F9F">
        <w:rPr>
          <w:rFonts w:ascii="Arial Narrow" w:eastAsia="Arial Narrow" w:hAnsi="Arial Narrow" w:cs="Arial Narrow"/>
          <w:color w:val="000000"/>
          <w:sz w:val="24"/>
          <w:szCs w:val="24"/>
        </w:rPr>
        <w:t xml:space="preserve">Proche </w:t>
      </w:r>
      <w:proofErr w:type="spellStart"/>
      <w:r w:rsidRPr="00461F9F">
        <w:rPr>
          <w:rFonts w:ascii="Arial Narrow" w:eastAsia="Arial Narrow" w:hAnsi="Arial Narrow" w:cs="Arial Narrow"/>
          <w:color w:val="000000"/>
          <w:sz w:val="24"/>
          <w:szCs w:val="24"/>
        </w:rPr>
        <w:t>aidance</w:t>
      </w:r>
      <w:proofErr w:type="spellEnd"/>
      <w:r w:rsidRPr="00461F9F">
        <w:rPr>
          <w:rFonts w:ascii="Arial Narrow" w:eastAsia="Arial Narrow" w:hAnsi="Arial Narrow" w:cs="Arial Narrow"/>
          <w:color w:val="000000"/>
          <w:sz w:val="24"/>
          <w:szCs w:val="24"/>
        </w:rPr>
        <w:t xml:space="preserve"> Québec — Regroupement d’organismes engagés pour les personnes proches aidantes</w:t>
      </w:r>
    </w:p>
    <w:p w14:paraId="7B3E13C4" w14:textId="77777777" w:rsidR="004819E5" w:rsidRPr="00461F9F" w:rsidRDefault="004819E5" w:rsidP="00461F9F">
      <w:pPr>
        <w:pStyle w:val="Paragraphedeliste"/>
        <w:numPr>
          <w:ilvl w:val="0"/>
          <w:numId w:val="6"/>
        </w:numPr>
        <w:pBdr>
          <w:top w:val="nil"/>
          <w:left w:val="nil"/>
          <w:bottom w:val="nil"/>
          <w:right w:val="nil"/>
          <w:between w:val="nil"/>
        </w:pBdr>
        <w:spacing w:before="100" w:beforeAutospacing="1" w:after="100" w:afterAutospacing="1" w:line="240" w:lineRule="auto"/>
        <w:ind w:left="993" w:hanging="851"/>
        <w:jc w:val="both"/>
        <w:rPr>
          <w:rFonts w:ascii="Arial Narrow" w:hAnsi="Arial Narrow" w:cs="Calibri"/>
          <w:color w:val="000000"/>
          <w:sz w:val="24"/>
          <w:szCs w:val="24"/>
        </w:rPr>
      </w:pPr>
      <w:r w:rsidRPr="00461F9F">
        <w:rPr>
          <w:rFonts w:ascii="Arial Narrow" w:eastAsia="Arial Narrow" w:hAnsi="Arial Narrow" w:cs="Arial Narrow"/>
          <w:color w:val="000000"/>
          <w:sz w:val="24"/>
          <w:szCs w:val="24"/>
        </w:rPr>
        <w:t>RQPC | Regroupement québéc</w:t>
      </w:r>
      <w:r w:rsidRPr="00461F9F">
        <w:rPr>
          <w:rFonts w:ascii="Arial Narrow" w:hAnsi="Arial Narrow" w:cs="Calibri"/>
          <w:color w:val="000000"/>
          <w:sz w:val="24"/>
          <w:szCs w:val="24"/>
        </w:rPr>
        <w:t>ois du parrainage civique </w:t>
      </w:r>
    </w:p>
    <w:bookmarkEnd w:id="15"/>
    <w:p w14:paraId="17893F97" w14:textId="77777777" w:rsidR="004819E5" w:rsidRPr="00461F9F" w:rsidRDefault="004819E5" w:rsidP="004535F2">
      <w:pPr>
        <w:spacing w:before="100" w:beforeAutospacing="1" w:after="100" w:afterAutospacing="1" w:line="240" w:lineRule="auto"/>
        <w:rPr>
          <w:rFonts w:ascii="Arial Narrow" w:hAnsi="Arial Narrow"/>
          <w:sz w:val="24"/>
          <w:szCs w:val="24"/>
        </w:rPr>
      </w:pPr>
    </w:p>
    <w:p w14:paraId="0759413A" w14:textId="77777777" w:rsidR="004819E5" w:rsidRPr="00461F9F" w:rsidRDefault="004819E5" w:rsidP="004535F2">
      <w:pPr>
        <w:spacing w:before="100" w:beforeAutospacing="1" w:after="100" w:afterAutospacing="1" w:line="240" w:lineRule="auto"/>
        <w:rPr>
          <w:rFonts w:ascii="Arial Narrow" w:hAnsi="Arial Narrow"/>
          <w:sz w:val="24"/>
          <w:szCs w:val="24"/>
        </w:rPr>
      </w:pPr>
    </w:p>
    <w:p w14:paraId="027E1FE9" w14:textId="22FDEF1E" w:rsidR="006343C7" w:rsidRPr="00461F9F" w:rsidRDefault="004819E5" w:rsidP="004535F2">
      <w:pPr>
        <w:spacing w:before="100" w:beforeAutospacing="1" w:after="100" w:afterAutospacing="1" w:line="240" w:lineRule="auto"/>
        <w:jc w:val="center"/>
        <w:rPr>
          <w:rFonts w:ascii="Arial Narrow" w:hAnsi="Arial Narrow"/>
          <w:sz w:val="24"/>
          <w:szCs w:val="24"/>
        </w:rPr>
      </w:pPr>
      <w:r w:rsidRPr="00461F9F">
        <w:rPr>
          <w:rFonts w:ascii="Arial Narrow" w:hAnsi="Arial Narrow"/>
          <w:noProof/>
          <w:sz w:val="24"/>
          <w:szCs w:val="24"/>
        </w:rPr>
        <w:drawing>
          <wp:inline distT="0" distB="0" distL="0" distR="0" wp14:anchorId="7D7CBACC" wp14:editId="35171A6C">
            <wp:extent cx="4117219" cy="2161540"/>
            <wp:effectExtent l="0" t="0" r="0" b="0"/>
            <wp:docPr id="10778662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6240" name="Image 1077866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884" cy="2165564"/>
                    </a:xfrm>
                    <a:prstGeom prst="rect">
                      <a:avLst/>
                    </a:prstGeom>
                  </pic:spPr>
                </pic:pic>
              </a:graphicData>
            </a:graphic>
          </wp:inline>
        </w:drawing>
      </w:r>
    </w:p>
    <w:p w14:paraId="65778531" w14:textId="77777777" w:rsidR="00041B54" w:rsidRPr="00461F9F" w:rsidRDefault="00041B54" w:rsidP="004535F2">
      <w:pPr>
        <w:rPr>
          <w:rFonts w:ascii="Arial Narrow" w:hAnsi="Arial Narrow"/>
          <w:sz w:val="24"/>
          <w:szCs w:val="24"/>
        </w:rPr>
      </w:pPr>
    </w:p>
    <w:p w14:paraId="7B076EE9" w14:textId="3F8D944E" w:rsidR="00041B54" w:rsidRPr="00461F9F" w:rsidRDefault="00041B54" w:rsidP="004535F2">
      <w:pPr>
        <w:rPr>
          <w:rFonts w:ascii="Arial Narrow" w:hAnsi="Arial Narrow"/>
          <w:sz w:val="24"/>
          <w:szCs w:val="24"/>
        </w:rPr>
      </w:pPr>
    </w:p>
    <w:p w14:paraId="7AE03072" w14:textId="51535CC0" w:rsidR="008C0ADE" w:rsidRPr="00461F9F" w:rsidRDefault="008C0ADE" w:rsidP="004535F2">
      <w:pPr>
        <w:rPr>
          <w:rFonts w:ascii="Arial Narrow" w:hAnsi="Arial Narrow"/>
          <w:noProof/>
          <w:sz w:val="24"/>
          <w:szCs w:val="24"/>
        </w:rPr>
      </w:pPr>
      <w:r w:rsidRPr="00461F9F">
        <w:rPr>
          <w:rFonts w:ascii="Arial Narrow" w:hAnsi="Arial Narrow"/>
          <w:noProof/>
          <w:sz w:val="24"/>
          <w:szCs w:val="24"/>
        </w:rPr>
        <w:br w:type="page"/>
      </w:r>
    </w:p>
    <w:p w14:paraId="061A19AE" w14:textId="4C1F71BA" w:rsidR="009B0F08" w:rsidRPr="00461F9F" w:rsidRDefault="004B4E7A" w:rsidP="004535F2">
      <w:pPr>
        <w:rPr>
          <w:rFonts w:ascii="Arial Narrow" w:hAnsi="Arial Narrow"/>
          <w:noProof/>
          <w:sz w:val="24"/>
          <w:szCs w:val="24"/>
        </w:rPr>
      </w:pPr>
      <w:r w:rsidRPr="00461F9F">
        <w:rPr>
          <w:rFonts w:ascii="Arial Narrow" w:hAnsi="Arial Narrow"/>
          <w:noProof/>
          <w:sz w:val="24"/>
          <w:szCs w:val="24"/>
        </w:rPr>
        <w:lastRenderedPageBreak/>
        <w:drawing>
          <wp:anchor distT="0" distB="0" distL="114300" distR="114300" simplePos="0" relativeHeight="251658241" behindDoc="0" locked="0" layoutInCell="1" allowOverlap="1" wp14:anchorId="07BB627A" wp14:editId="16A6D0E1">
            <wp:simplePos x="897147" y="897147"/>
            <wp:positionH relativeFrom="margin">
              <wp:align>center</wp:align>
            </wp:positionH>
            <wp:positionV relativeFrom="margin">
              <wp:align>center</wp:align>
            </wp:positionV>
            <wp:extent cx="6480000" cy="7230918"/>
            <wp:effectExtent l="0" t="0" r="0" b="8255"/>
            <wp:wrapSquare wrapText="bothSides"/>
            <wp:docPr id="301484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27883" name=""/>
                    <pic:cNvPicPr/>
                  </pic:nvPicPr>
                  <pic:blipFill rotWithShape="1">
                    <a:blip r:embed="rId24">
                      <a:extLst>
                        <a:ext uri="{28A0092B-C50C-407E-A947-70E740481C1C}">
                          <a14:useLocalDpi xmlns:a14="http://schemas.microsoft.com/office/drawing/2010/main" val="0"/>
                        </a:ext>
                      </a:extLst>
                    </a:blip>
                    <a:srcRect l="-83" t="106" r="32308" b="-106"/>
                    <a:stretch>
                      <a:fillRect/>
                    </a:stretch>
                  </pic:blipFill>
                  <pic:spPr bwMode="auto">
                    <a:xfrm>
                      <a:off x="0" y="0"/>
                      <a:ext cx="6480000" cy="7230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3D25A" w14:textId="0E2A0840" w:rsidR="008C0ADE" w:rsidRPr="00461F9F" w:rsidRDefault="008C0ADE" w:rsidP="004535F2">
      <w:pPr>
        <w:rPr>
          <w:rFonts w:ascii="Arial Narrow" w:hAnsi="Arial Narrow"/>
          <w:sz w:val="24"/>
          <w:szCs w:val="24"/>
        </w:rPr>
      </w:pPr>
    </w:p>
    <w:p w14:paraId="422E63A6" w14:textId="2897E47F" w:rsidR="008C0ADE" w:rsidRPr="00461F9F" w:rsidRDefault="008C0ADE" w:rsidP="004535F2">
      <w:pPr>
        <w:rPr>
          <w:rFonts w:ascii="Arial Narrow" w:hAnsi="Arial Narrow"/>
          <w:sz w:val="24"/>
          <w:szCs w:val="24"/>
        </w:rPr>
      </w:pPr>
      <w:r w:rsidRPr="00461F9F">
        <w:rPr>
          <w:rFonts w:ascii="Arial Narrow" w:hAnsi="Arial Narrow"/>
          <w:sz w:val="24"/>
          <w:szCs w:val="24"/>
        </w:rPr>
        <w:br w:type="page"/>
      </w:r>
    </w:p>
    <w:p w14:paraId="573AD224" w14:textId="6625A783" w:rsidR="009B0F08" w:rsidRPr="00461F9F" w:rsidRDefault="00472634" w:rsidP="004535F2">
      <w:pPr>
        <w:rPr>
          <w:rFonts w:ascii="Arial Narrow" w:hAnsi="Arial Narrow"/>
          <w:sz w:val="24"/>
          <w:szCs w:val="24"/>
        </w:rPr>
      </w:pPr>
      <w:r w:rsidRPr="00461F9F">
        <w:rPr>
          <w:rFonts w:ascii="Arial Narrow" w:hAnsi="Arial Narrow"/>
          <w:noProof/>
          <w:sz w:val="24"/>
          <w:szCs w:val="24"/>
        </w:rPr>
        <w:lastRenderedPageBreak/>
        <w:drawing>
          <wp:anchor distT="0" distB="0" distL="114300" distR="114300" simplePos="0" relativeHeight="251658242" behindDoc="0" locked="0" layoutInCell="1" allowOverlap="1" wp14:anchorId="4D984274" wp14:editId="78600EE6">
            <wp:simplePos x="0" y="0"/>
            <wp:positionH relativeFrom="margin">
              <wp:align>center</wp:align>
            </wp:positionH>
            <wp:positionV relativeFrom="margin">
              <wp:align>top</wp:align>
            </wp:positionV>
            <wp:extent cx="6480000" cy="7314585"/>
            <wp:effectExtent l="0" t="0" r="0" b="635"/>
            <wp:wrapSquare wrapText="bothSides"/>
            <wp:docPr id="1966639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39503" name=""/>
                    <pic:cNvPicPr/>
                  </pic:nvPicPr>
                  <pic:blipFill rotWithShape="1">
                    <a:blip r:embed="rId25">
                      <a:extLst>
                        <a:ext uri="{28A0092B-C50C-407E-A947-70E740481C1C}">
                          <a14:useLocalDpi xmlns:a14="http://schemas.microsoft.com/office/drawing/2010/main" val="0"/>
                        </a:ext>
                      </a:extLst>
                    </a:blip>
                    <a:srcRect l="32668"/>
                    <a:stretch>
                      <a:fillRect/>
                    </a:stretch>
                  </pic:blipFill>
                  <pic:spPr bwMode="auto">
                    <a:xfrm>
                      <a:off x="0" y="0"/>
                      <a:ext cx="6480000" cy="731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B059F" w14:textId="77777777" w:rsidR="004535F2" w:rsidRPr="00461F9F" w:rsidRDefault="004535F2" w:rsidP="004535F2">
      <w:pPr>
        <w:rPr>
          <w:rFonts w:ascii="Arial Narrow" w:hAnsi="Arial Narrow"/>
          <w:sz w:val="24"/>
          <w:szCs w:val="24"/>
        </w:rPr>
      </w:pPr>
    </w:p>
    <w:sectPr w:rsidR="004535F2" w:rsidRPr="00461F9F" w:rsidSect="00597FA8">
      <w:footerReference w:type="default" r:id="rId26"/>
      <w:pgSz w:w="12242" w:h="15842" w:code="1"/>
      <w:pgMar w:top="1361" w:right="1361" w:bottom="1361" w:left="136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45E91" w14:textId="77777777" w:rsidR="00673DF8" w:rsidRDefault="00673DF8">
      <w:pPr>
        <w:spacing w:line="240" w:lineRule="auto"/>
      </w:pPr>
      <w:r>
        <w:separator/>
      </w:r>
    </w:p>
  </w:endnote>
  <w:endnote w:type="continuationSeparator" w:id="0">
    <w:p w14:paraId="0B5C5D4A" w14:textId="77777777" w:rsidR="00673DF8" w:rsidRDefault="00673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4D2A8B-F26C-4B20-BAA5-1907FE18FE2A}"/>
  </w:font>
  <w:font w:name="Arial Narrow">
    <w:panose1 w:val="020B0606020202030204"/>
    <w:charset w:val="00"/>
    <w:family w:val="swiss"/>
    <w:pitch w:val="variable"/>
    <w:sig w:usb0="00000287" w:usb1="00000800" w:usb2="00000000" w:usb3="00000000" w:csb0="0000009F" w:csb1="00000000"/>
    <w:embedRegular r:id="rId2" w:fontKey="{78E9B367-DCD7-41CF-B8D7-28BCB8102FC1}"/>
    <w:embedBold r:id="rId3" w:fontKey="{2005A408-2170-4508-84E9-249C9C2D17D9}"/>
    <w:embedItalic r:id="rId4" w:fontKey="{D164033F-13F3-4C55-84BD-AB3A69409A87}"/>
  </w:font>
  <w:font w:name="Cambria">
    <w:panose1 w:val="02040503050406030204"/>
    <w:charset w:val="00"/>
    <w:family w:val="roman"/>
    <w:pitch w:val="variable"/>
    <w:sig w:usb0="E00006FF" w:usb1="420024FF" w:usb2="02000000" w:usb3="00000000" w:csb0="0000019F" w:csb1="00000000"/>
    <w:embedRegular r:id="rId5" w:fontKey="{F853D90D-20C9-492A-9690-61C4B0865FB7}"/>
    <w:embedBold r:id="rId6" w:fontKey="{53A6A616-1CAF-44CF-B60E-6CA1BBE4ED8B}"/>
    <w:embedBoldItalic r:id="rId7" w:fontKey="{C7C57C99-C86A-47BC-A700-FAD5B590FEDD}"/>
  </w:font>
  <w:font w:name="Tahoma">
    <w:panose1 w:val="020B0604030504040204"/>
    <w:charset w:val="00"/>
    <w:family w:val="swiss"/>
    <w:pitch w:val="variable"/>
    <w:sig w:usb0="E1002EFF" w:usb1="C000605B" w:usb2="00000029" w:usb3="00000000" w:csb0="000101FF" w:csb1="00000000"/>
    <w:embedRegular r:id="rId8" w:fontKey="{4282AD95-098D-422D-9C5A-93B1E8F5702F}"/>
  </w:font>
  <w:font w:name="Aptos">
    <w:charset w:val="00"/>
    <w:family w:val="swiss"/>
    <w:pitch w:val="variable"/>
    <w:sig w:usb0="20000287" w:usb1="00000003" w:usb2="00000000" w:usb3="00000000" w:csb0="0000019F" w:csb1="00000000"/>
    <w:embedRegular r:id="rId9" w:fontKey="{0927CAE5-5F9D-4008-99A7-E693D4392C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83A9" w14:textId="2A4DED41" w:rsidR="00F907F3" w:rsidRDefault="00FB52B1" w:rsidP="00200814">
    <w:pPr>
      <w:jc w:val="center"/>
      <w:rPr>
        <w:sz w:val="24"/>
        <w:szCs w:val="24"/>
      </w:rPr>
    </w:pPr>
    <w:r>
      <w:rPr>
        <w:sz w:val="24"/>
        <w:szCs w:val="24"/>
      </w:rPr>
      <w:fldChar w:fldCharType="begin"/>
    </w:r>
    <w:r>
      <w:rPr>
        <w:sz w:val="24"/>
        <w:szCs w:val="24"/>
      </w:rPr>
      <w:instrText>PAGE</w:instrText>
    </w:r>
    <w:r>
      <w:rPr>
        <w:sz w:val="24"/>
        <w:szCs w:val="24"/>
      </w:rPr>
      <w:fldChar w:fldCharType="separate"/>
    </w:r>
    <w:r w:rsidR="00FF5D98">
      <w:rPr>
        <w:noProof/>
        <w:sz w:val="24"/>
        <w:szCs w:val="24"/>
      </w:rPr>
      <w:t>1</w:t>
    </w:r>
    <w:r>
      <w:rPr>
        <w:sz w:val="24"/>
        <w:szCs w:val="24"/>
      </w:rPr>
      <w:fldChar w:fldCharType="end"/>
    </w:r>
  </w:p>
  <w:p w14:paraId="29B6E4F0" w14:textId="7E56366A" w:rsidR="00200814" w:rsidRPr="00200814" w:rsidRDefault="00200814" w:rsidP="00200814">
    <w:pPr>
      <w:jc w:val="center"/>
      <w:rPr>
        <w:sz w:val="19"/>
        <w:szCs w:val="19"/>
      </w:rPr>
    </w:pPr>
    <w:r w:rsidRPr="001531AC">
      <w:rPr>
        <w:i/>
        <w:iCs/>
        <w:sz w:val="19"/>
        <w:szCs w:val="19"/>
      </w:rPr>
      <w:t>Acquis sociaux en danger : les fusions proposées par le projet de loi no 7 mettent notamment en péril le mouvement de l’action communautaire autonome et dénaturent le Régime québécois d’assurance parentale</w:t>
    </w:r>
    <w:r w:rsidRPr="001531AC">
      <w:rPr>
        <w:sz w:val="19"/>
        <w:szCs w:val="19"/>
      </w:rPr>
      <w:t xml:space="preserve"> – Mémoire de la Table des regroupements provinciaux d’organismes communautaires et bénévoles </w:t>
    </w:r>
    <w:r>
      <w:rPr>
        <w:sz w:val="19"/>
        <w:szCs w:val="19"/>
      </w:rPr>
      <w:t>–</w:t>
    </w:r>
    <w:r w:rsidRPr="001531AC">
      <w:rPr>
        <w:sz w:val="19"/>
        <w:szCs w:val="19"/>
      </w:rPr>
      <w:t xml:space="preserve"> 30</w:t>
    </w:r>
    <w:r>
      <w:rPr>
        <w:sz w:val="19"/>
        <w:szCs w:val="19"/>
      </w:rPr>
      <w:t>-11-2025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9EFF9" w14:textId="77777777" w:rsidR="00673DF8" w:rsidRDefault="00673DF8">
      <w:pPr>
        <w:spacing w:line="240" w:lineRule="auto"/>
      </w:pPr>
      <w:r>
        <w:separator/>
      </w:r>
    </w:p>
  </w:footnote>
  <w:footnote w:type="continuationSeparator" w:id="0">
    <w:p w14:paraId="6905BDE4" w14:textId="77777777" w:rsidR="00673DF8" w:rsidRDefault="00673DF8">
      <w:pPr>
        <w:spacing w:line="240" w:lineRule="auto"/>
      </w:pPr>
      <w:r>
        <w:continuationSeparator/>
      </w:r>
    </w:p>
  </w:footnote>
  <w:footnote w:id="1">
    <w:p w14:paraId="7845FBE7" w14:textId="77777777" w:rsidR="00C4444E" w:rsidRPr="0031028D" w:rsidRDefault="00C4444E" w:rsidP="00C4444E">
      <w:pPr>
        <w:pStyle w:val="Notedebasdepage"/>
        <w:rPr>
          <w:rFonts w:ascii="Arial Narrow" w:hAnsi="Arial Narrow" w:cs="Arial"/>
        </w:rPr>
      </w:pPr>
      <w:r w:rsidRPr="0031028D">
        <w:rPr>
          <w:rStyle w:val="Appelnotedebasdep"/>
          <w:rFonts w:ascii="Arial Narrow" w:hAnsi="Arial Narrow" w:cs="Arial"/>
        </w:rPr>
        <w:footnoteRef/>
      </w:r>
      <w:r w:rsidRPr="0031028D">
        <w:rPr>
          <w:rFonts w:ascii="Arial Narrow" w:hAnsi="Arial Narrow" w:cs="Arial"/>
        </w:rPr>
        <w:t xml:space="preserve"> Ce montant intègre les 1,7 G$ revendiqués par la campagne</w:t>
      </w:r>
      <w:r w:rsidRPr="0031028D">
        <w:rPr>
          <w:rFonts w:ascii="Arial Narrow" w:hAnsi="Arial Narrow" w:cs="Arial"/>
          <w:i/>
        </w:rPr>
        <w:t xml:space="preserve"> </w:t>
      </w:r>
      <w:r>
        <w:rPr>
          <w:rFonts w:ascii="Arial Narrow" w:hAnsi="Arial Narrow" w:cs="Arial"/>
          <w:i/>
        </w:rPr>
        <w:t>CA$$$H</w:t>
      </w:r>
      <w:r w:rsidRPr="0031028D">
        <w:rPr>
          <w:rFonts w:ascii="Arial Narrow" w:hAnsi="Arial Narrow" w:cs="Arial"/>
          <w:i/>
        </w:rPr>
        <w:t xml:space="preserve">, </w:t>
      </w:r>
      <w:r w:rsidRPr="0031028D">
        <w:rPr>
          <w:rFonts w:ascii="Arial Narrow" w:hAnsi="Arial Narrow" w:cs="Arial"/>
        </w:rPr>
        <w:t>puisque les 3</w:t>
      </w:r>
      <w:r w:rsidRPr="0031028D">
        <w:rPr>
          <w:rFonts w:ascii="Arial" w:hAnsi="Arial" w:cs="Arial"/>
        </w:rPr>
        <w:t> </w:t>
      </w:r>
      <w:r w:rsidRPr="0031028D">
        <w:rPr>
          <w:rFonts w:ascii="Arial Narrow" w:hAnsi="Arial Narrow" w:cs="Arial"/>
        </w:rPr>
        <w:t>000</w:t>
      </w:r>
      <w:r w:rsidRPr="0031028D">
        <w:rPr>
          <w:rFonts w:ascii="Arial Narrow" w:hAnsi="Arial Narrow" w:cs="Arial Narrow"/>
        </w:rPr>
        <w:t> </w:t>
      </w:r>
      <w:r w:rsidRPr="0031028D">
        <w:rPr>
          <w:rFonts w:ascii="Arial Narrow" w:hAnsi="Arial Narrow" w:cs="Arial"/>
        </w:rPr>
        <w:t>OCASSS font partie des 4</w:t>
      </w:r>
      <w:r w:rsidRPr="0031028D">
        <w:rPr>
          <w:rFonts w:ascii="Arial" w:hAnsi="Arial" w:cs="Arial"/>
        </w:rPr>
        <w:t> </w:t>
      </w:r>
      <w:r w:rsidRPr="0031028D">
        <w:rPr>
          <w:rFonts w:ascii="Arial Narrow" w:hAnsi="Arial Narrow" w:cs="Arial"/>
        </w:rPr>
        <w:t>500</w:t>
      </w:r>
      <w:r>
        <w:rPr>
          <w:rFonts w:ascii="Arial Narrow" w:hAnsi="Arial Narrow" w:cs="Arial"/>
        </w:rPr>
        <w:t xml:space="preserve"> </w:t>
      </w:r>
      <w:r w:rsidRPr="0031028D">
        <w:rPr>
          <w:rFonts w:ascii="Arial Narrow" w:hAnsi="Arial Narrow" w:cs="Arial"/>
        </w:rPr>
        <w:t>groupes d</w:t>
      </w:r>
      <w:r w:rsidRPr="0031028D">
        <w:rPr>
          <w:rFonts w:ascii="Arial Narrow" w:hAnsi="Arial Narrow" w:cs="Arial Narrow"/>
        </w:rPr>
        <w:t>’</w:t>
      </w:r>
      <w:r w:rsidRPr="0031028D">
        <w:rPr>
          <w:rFonts w:ascii="Arial Narrow" w:hAnsi="Arial Narrow" w:cs="Arial"/>
        </w:rPr>
        <w:t xml:space="preserve">ACA.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0463"/>
    <w:multiLevelType w:val="hybridMultilevel"/>
    <w:tmpl w:val="D98EB58E"/>
    <w:lvl w:ilvl="0" w:tplc="753CFB1C">
      <w:numFmt w:val="bullet"/>
      <w:lvlText w:val="•"/>
      <w:lvlJc w:val="left"/>
      <w:pPr>
        <w:ind w:left="363" w:hanging="149"/>
      </w:pPr>
      <w:rPr>
        <w:rFonts w:ascii="Arial MT" w:eastAsia="Arial MT" w:hAnsi="Arial MT" w:cs="Arial MT" w:hint="default"/>
        <w:b w:val="0"/>
        <w:bCs w:val="0"/>
        <w:i w:val="0"/>
        <w:iCs w:val="0"/>
        <w:spacing w:val="0"/>
        <w:w w:val="104"/>
        <w:sz w:val="17"/>
        <w:szCs w:val="17"/>
        <w:lang w:val="fr-FR" w:eastAsia="en-US" w:bidi="ar-SA"/>
      </w:rPr>
    </w:lvl>
    <w:lvl w:ilvl="1" w:tplc="14A2DF78">
      <w:numFmt w:val="bullet"/>
      <w:lvlText w:val="•"/>
      <w:lvlJc w:val="left"/>
      <w:pPr>
        <w:ind w:left="787" w:hanging="149"/>
      </w:pPr>
      <w:rPr>
        <w:rFonts w:hint="default"/>
        <w:lang w:val="fr-FR" w:eastAsia="en-US" w:bidi="ar-SA"/>
      </w:rPr>
    </w:lvl>
    <w:lvl w:ilvl="2" w:tplc="C30E9352">
      <w:numFmt w:val="bullet"/>
      <w:lvlText w:val="•"/>
      <w:lvlJc w:val="left"/>
      <w:pPr>
        <w:ind w:left="1214" w:hanging="149"/>
      </w:pPr>
      <w:rPr>
        <w:rFonts w:hint="default"/>
        <w:lang w:val="fr-FR" w:eastAsia="en-US" w:bidi="ar-SA"/>
      </w:rPr>
    </w:lvl>
    <w:lvl w:ilvl="3" w:tplc="55D4374E">
      <w:numFmt w:val="bullet"/>
      <w:lvlText w:val="•"/>
      <w:lvlJc w:val="left"/>
      <w:pPr>
        <w:ind w:left="1642" w:hanging="149"/>
      </w:pPr>
      <w:rPr>
        <w:rFonts w:hint="default"/>
        <w:lang w:val="fr-FR" w:eastAsia="en-US" w:bidi="ar-SA"/>
      </w:rPr>
    </w:lvl>
    <w:lvl w:ilvl="4" w:tplc="0BDE80BA">
      <w:numFmt w:val="bullet"/>
      <w:lvlText w:val="•"/>
      <w:lvlJc w:val="left"/>
      <w:pPr>
        <w:ind w:left="2069" w:hanging="149"/>
      </w:pPr>
      <w:rPr>
        <w:rFonts w:hint="default"/>
        <w:lang w:val="fr-FR" w:eastAsia="en-US" w:bidi="ar-SA"/>
      </w:rPr>
    </w:lvl>
    <w:lvl w:ilvl="5" w:tplc="04EE91A4">
      <w:numFmt w:val="bullet"/>
      <w:lvlText w:val="•"/>
      <w:lvlJc w:val="left"/>
      <w:pPr>
        <w:ind w:left="2496" w:hanging="149"/>
      </w:pPr>
      <w:rPr>
        <w:rFonts w:hint="default"/>
        <w:lang w:val="fr-FR" w:eastAsia="en-US" w:bidi="ar-SA"/>
      </w:rPr>
    </w:lvl>
    <w:lvl w:ilvl="6" w:tplc="C0ACFF16">
      <w:numFmt w:val="bullet"/>
      <w:lvlText w:val="•"/>
      <w:lvlJc w:val="left"/>
      <w:pPr>
        <w:ind w:left="2924" w:hanging="149"/>
      </w:pPr>
      <w:rPr>
        <w:rFonts w:hint="default"/>
        <w:lang w:val="fr-FR" w:eastAsia="en-US" w:bidi="ar-SA"/>
      </w:rPr>
    </w:lvl>
    <w:lvl w:ilvl="7" w:tplc="A5FAF766">
      <w:numFmt w:val="bullet"/>
      <w:lvlText w:val="•"/>
      <w:lvlJc w:val="left"/>
      <w:pPr>
        <w:ind w:left="3351" w:hanging="149"/>
      </w:pPr>
      <w:rPr>
        <w:rFonts w:hint="default"/>
        <w:lang w:val="fr-FR" w:eastAsia="en-US" w:bidi="ar-SA"/>
      </w:rPr>
    </w:lvl>
    <w:lvl w:ilvl="8" w:tplc="8EF82692">
      <w:numFmt w:val="bullet"/>
      <w:lvlText w:val="•"/>
      <w:lvlJc w:val="left"/>
      <w:pPr>
        <w:ind w:left="3779" w:hanging="149"/>
      </w:pPr>
      <w:rPr>
        <w:rFonts w:hint="default"/>
        <w:lang w:val="fr-FR" w:eastAsia="en-US" w:bidi="ar-SA"/>
      </w:rPr>
    </w:lvl>
  </w:abstractNum>
  <w:abstractNum w:abstractNumId="1" w15:restartNumberingAfterBreak="0">
    <w:nsid w:val="11577BD5"/>
    <w:multiLevelType w:val="hybridMultilevel"/>
    <w:tmpl w:val="6BCE5F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F205493"/>
    <w:multiLevelType w:val="hybridMultilevel"/>
    <w:tmpl w:val="6BCE5F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86310FC"/>
    <w:multiLevelType w:val="hybridMultilevel"/>
    <w:tmpl w:val="7736EE0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B31B34"/>
    <w:multiLevelType w:val="hybridMultilevel"/>
    <w:tmpl w:val="A74CB91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3E614224"/>
    <w:multiLevelType w:val="hybridMultilevel"/>
    <w:tmpl w:val="62780B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28A682B"/>
    <w:multiLevelType w:val="multilevel"/>
    <w:tmpl w:val="02327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A43C41"/>
    <w:multiLevelType w:val="hybridMultilevel"/>
    <w:tmpl w:val="88B62864"/>
    <w:lvl w:ilvl="0" w:tplc="0D3ABA42">
      <w:start w:val="1"/>
      <w:numFmt w:val="bullet"/>
      <w:lvlText w:val="•"/>
      <w:lvlJc w:val="left"/>
      <w:pPr>
        <w:tabs>
          <w:tab w:val="num" w:pos="720"/>
        </w:tabs>
        <w:ind w:left="720" w:hanging="360"/>
      </w:pPr>
      <w:rPr>
        <w:rFonts w:ascii="Arial" w:hAnsi="Arial" w:hint="default"/>
      </w:rPr>
    </w:lvl>
    <w:lvl w:ilvl="1" w:tplc="2CC62A50">
      <w:start w:val="1"/>
      <w:numFmt w:val="bullet"/>
      <w:lvlText w:val="•"/>
      <w:lvlJc w:val="left"/>
      <w:pPr>
        <w:tabs>
          <w:tab w:val="num" w:pos="1440"/>
        </w:tabs>
        <w:ind w:left="1440" w:hanging="360"/>
      </w:pPr>
      <w:rPr>
        <w:rFonts w:ascii="Arial" w:hAnsi="Arial" w:hint="default"/>
      </w:rPr>
    </w:lvl>
    <w:lvl w:ilvl="2" w:tplc="C7B4DB5C" w:tentative="1">
      <w:start w:val="1"/>
      <w:numFmt w:val="bullet"/>
      <w:lvlText w:val="•"/>
      <w:lvlJc w:val="left"/>
      <w:pPr>
        <w:tabs>
          <w:tab w:val="num" w:pos="2160"/>
        </w:tabs>
        <w:ind w:left="2160" w:hanging="360"/>
      </w:pPr>
      <w:rPr>
        <w:rFonts w:ascii="Arial" w:hAnsi="Arial" w:hint="default"/>
      </w:rPr>
    </w:lvl>
    <w:lvl w:ilvl="3" w:tplc="04EACB1C" w:tentative="1">
      <w:start w:val="1"/>
      <w:numFmt w:val="bullet"/>
      <w:lvlText w:val="•"/>
      <w:lvlJc w:val="left"/>
      <w:pPr>
        <w:tabs>
          <w:tab w:val="num" w:pos="2880"/>
        </w:tabs>
        <w:ind w:left="2880" w:hanging="360"/>
      </w:pPr>
      <w:rPr>
        <w:rFonts w:ascii="Arial" w:hAnsi="Arial" w:hint="default"/>
      </w:rPr>
    </w:lvl>
    <w:lvl w:ilvl="4" w:tplc="9BE4E1DE" w:tentative="1">
      <w:start w:val="1"/>
      <w:numFmt w:val="bullet"/>
      <w:lvlText w:val="•"/>
      <w:lvlJc w:val="left"/>
      <w:pPr>
        <w:tabs>
          <w:tab w:val="num" w:pos="3600"/>
        </w:tabs>
        <w:ind w:left="3600" w:hanging="360"/>
      </w:pPr>
      <w:rPr>
        <w:rFonts w:ascii="Arial" w:hAnsi="Arial" w:hint="default"/>
      </w:rPr>
    </w:lvl>
    <w:lvl w:ilvl="5" w:tplc="BFB4D508" w:tentative="1">
      <w:start w:val="1"/>
      <w:numFmt w:val="bullet"/>
      <w:lvlText w:val="•"/>
      <w:lvlJc w:val="left"/>
      <w:pPr>
        <w:tabs>
          <w:tab w:val="num" w:pos="4320"/>
        </w:tabs>
        <w:ind w:left="4320" w:hanging="360"/>
      </w:pPr>
      <w:rPr>
        <w:rFonts w:ascii="Arial" w:hAnsi="Arial" w:hint="default"/>
      </w:rPr>
    </w:lvl>
    <w:lvl w:ilvl="6" w:tplc="3140BFCE" w:tentative="1">
      <w:start w:val="1"/>
      <w:numFmt w:val="bullet"/>
      <w:lvlText w:val="•"/>
      <w:lvlJc w:val="left"/>
      <w:pPr>
        <w:tabs>
          <w:tab w:val="num" w:pos="5040"/>
        </w:tabs>
        <w:ind w:left="5040" w:hanging="360"/>
      </w:pPr>
      <w:rPr>
        <w:rFonts w:ascii="Arial" w:hAnsi="Arial" w:hint="default"/>
      </w:rPr>
    </w:lvl>
    <w:lvl w:ilvl="7" w:tplc="BA76BF72" w:tentative="1">
      <w:start w:val="1"/>
      <w:numFmt w:val="bullet"/>
      <w:lvlText w:val="•"/>
      <w:lvlJc w:val="left"/>
      <w:pPr>
        <w:tabs>
          <w:tab w:val="num" w:pos="5760"/>
        </w:tabs>
        <w:ind w:left="5760" w:hanging="360"/>
      </w:pPr>
      <w:rPr>
        <w:rFonts w:ascii="Arial" w:hAnsi="Arial" w:hint="default"/>
      </w:rPr>
    </w:lvl>
    <w:lvl w:ilvl="8" w:tplc="FBC8E9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203B78"/>
    <w:multiLevelType w:val="hybridMultilevel"/>
    <w:tmpl w:val="407091C6"/>
    <w:lvl w:ilvl="0" w:tplc="C2CED5F6">
      <w:numFmt w:val="bullet"/>
      <w:lvlText w:val="•"/>
      <w:lvlJc w:val="left"/>
      <w:pPr>
        <w:ind w:left="480" w:hanging="154"/>
      </w:pPr>
      <w:rPr>
        <w:rFonts w:ascii="Arial MT" w:eastAsia="Arial MT" w:hAnsi="Arial MT" w:cs="Arial MT" w:hint="default"/>
        <w:spacing w:val="0"/>
        <w:w w:val="104"/>
        <w:lang w:val="fr-FR" w:eastAsia="en-US" w:bidi="ar-SA"/>
      </w:rPr>
    </w:lvl>
    <w:lvl w:ilvl="1" w:tplc="E52A3CC6">
      <w:numFmt w:val="bullet"/>
      <w:lvlText w:val="•"/>
      <w:lvlJc w:val="left"/>
      <w:pPr>
        <w:ind w:left="898" w:hanging="154"/>
      </w:pPr>
      <w:rPr>
        <w:rFonts w:hint="default"/>
        <w:lang w:val="fr-FR" w:eastAsia="en-US" w:bidi="ar-SA"/>
      </w:rPr>
    </w:lvl>
    <w:lvl w:ilvl="2" w:tplc="CC149C68">
      <w:numFmt w:val="bullet"/>
      <w:lvlText w:val="•"/>
      <w:lvlJc w:val="left"/>
      <w:pPr>
        <w:ind w:left="1316" w:hanging="154"/>
      </w:pPr>
      <w:rPr>
        <w:rFonts w:hint="default"/>
        <w:lang w:val="fr-FR" w:eastAsia="en-US" w:bidi="ar-SA"/>
      </w:rPr>
    </w:lvl>
    <w:lvl w:ilvl="3" w:tplc="B12C55B2">
      <w:numFmt w:val="bullet"/>
      <w:lvlText w:val="•"/>
      <w:lvlJc w:val="left"/>
      <w:pPr>
        <w:ind w:left="1734" w:hanging="154"/>
      </w:pPr>
      <w:rPr>
        <w:rFonts w:hint="default"/>
        <w:lang w:val="fr-FR" w:eastAsia="en-US" w:bidi="ar-SA"/>
      </w:rPr>
    </w:lvl>
    <w:lvl w:ilvl="4" w:tplc="29167D78">
      <w:numFmt w:val="bullet"/>
      <w:lvlText w:val="•"/>
      <w:lvlJc w:val="left"/>
      <w:pPr>
        <w:ind w:left="2152" w:hanging="154"/>
      </w:pPr>
      <w:rPr>
        <w:rFonts w:hint="default"/>
        <w:lang w:val="fr-FR" w:eastAsia="en-US" w:bidi="ar-SA"/>
      </w:rPr>
    </w:lvl>
    <w:lvl w:ilvl="5" w:tplc="F4ECA7A6">
      <w:numFmt w:val="bullet"/>
      <w:lvlText w:val="•"/>
      <w:lvlJc w:val="left"/>
      <w:pPr>
        <w:ind w:left="2570" w:hanging="154"/>
      </w:pPr>
      <w:rPr>
        <w:rFonts w:hint="default"/>
        <w:lang w:val="fr-FR" w:eastAsia="en-US" w:bidi="ar-SA"/>
      </w:rPr>
    </w:lvl>
    <w:lvl w:ilvl="6" w:tplc="00E6DCCC">
      <w:numFmt w:val="bullet"/>
      <w:lvlText w:val="•"/>
      <w:lvlJc w:val="left"/>
      <w:pPr>
        <w:ind w:left="2988" w:hanging="154"/>
      </w:pPr>
      <w:rPr>
        <w:rFonts w:hint="default"/>
        <w:lang w:val="fr-FR" w:eastAsia="en-US" w:bidi="ar-SA"/>
      </w:rPr>
    </w:lvl>
    <w:lvl w:ilvl="7" w:tplc="1EBA09F0">
      <w:numFmt w:val="bullet"/>
      <w:lvlText w:val="•"/>
      <w:lvlJc w:val="left"/>
      <w:pPr>
        <w:ind w:left="3406" w:hanging="154"/>
      </w:pPr>
      <w:rPr>
        <w:rFonts w:hint="default"/>
        <w:lang w:val="fr-FR" w:eastAsia="en-US" w:bidi="ar-SA"/>
      </w:rPr>
    </w:lvl>
    <w:lvl w:ilvl="8" w:tplc="B4CEE818">
      <w:numFmt w:val="bullet"/>
      <w:lvlText w:val="•"/>
      <w:lvlJc w:val="left"/>
      <w:pPr>
        <w:ind w:left="3824" w:hanging="154"/>
      </w:pPr>
      <w:rPr>
        <w:rFonts w:hint="default"/>
        <w:lang w:val="fr-FR" w:eastAsia="en-US" w:bidi="ar-SA"/>
      </w:rPr>
    </w:lvl>
  </w:abstractNum>
  <w:abstractNum w:abstractNumId="9" w15:restartNumberingAfterBreak="0">
    <w:nsid w:val="534F52D1"/>
    <w:multiLevelType w:val="multilevel"/>
    <w:tmpl w:val="35DEE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59B48F1"/>
    <w:multiLevelType w:val="multilevel"/>
    <w:tmpl w:val="331E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0C0B06"/>
    <w:multiLevelType w:val="hybridMultilevel"/>
    <w:tmpl w:val="16A891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0CF798F"/>
    <w:multiLevelType w:val="hybridMultilevel"/>
    <w:tmpl w:val="6BCE5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768815257">
    <w:abstractNumId w:val="9"/>
  </w:num>
  <w:num w:numId="2" w16cid:durableId="1483501342">
    <w:abstractNumId w:val="10"/>
  </w:num>
  <w:num w:numId="3" w16cid:durableId="446125760">
    <w:abstractNumId w:val="6"/>
  </w:num>
  <w:num w:numId="4" w16cid:durableId="573440986">
    <w:abstractNumId w:val="4"/>
  </w:num>
  <w:num w:numId="5" w16cid:durableId="411896556">
    <w:abstractNumId w:val="3"/>
  </w:num>
  <w:num w:numId="6" w16cid:durableId="1926449057">
    <w:abstractNumId w:val="5"/>
  </w:num>
  <w:num w:numId="7" w16cid:durableId="1151291773">
    <w:abstractNumId w:val="11"/>
  </w:num>
  <w:num w:numId="8" w16cid:durableId="334309995">
    <w:abstractNumId w:val="7"/>
  </w:num>
  <w:num w:numId="9" w16cid:durableId="1639799365">
    <w:abstractNumId w:val="0"/>
  </w:num>
  <w:num w:numId="10" w16cid:durableId="1127510359">
    <w:abstractNumId w:val="8"/>
  </w:num>
  <w:num w:numId="11" w16cid:durableId="398596296">
    <w:abstractNumId w:val="12"/>
  </w:num>
  <w:num w:numId="12" w16cid:durableId="1607616163">
    <w:abstractNumId w:val="1"/>
  </w:num>
  <w:num w:numId="13" w16cid:durableId="1407189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F3"/>
    <w:rsid w:val="0000231A"/>
    <w:rsid w:val="00002496"/>
    <w:rsid w:val="00041B54"/>
    <w:rsid w:val="00052D35"/>
    <w:rsid w:val="00072124"/>
    <w:rsid w:val="00076114"/>
    <w:rsid w:val="00082754"/>
    <w:rsid w:val="00082E55"/>
    <w:rsid w:val="000A3999"/>
    <w:rsid w:val="000D3892"/>
    <w:rsid w:val="000D5802"/>
    <w:rsid w:val="000E65F8"/>
    <w:rsid w:val="00123FD4"/>
    <w:rsid w:val="0013207B"/>
    <w:rsid w:val="001531AC"/>
    <w:rsid w:val="0015768F"/>
    <w:rsid w:val="00172054"/>
    <w:rsid w:val="00195437"/>
    <w:rsid w:val="001978E8"/>
    <w:rsid w:val="001B1B27"/>
    <w:rsid w:val="001B4FBC"/>
    <w:rsid w:val="001D2879"/>
    <w:rsid w:val="001E00B7"/>
    <w:rsid w:val="001E3B58"/>
    <w:rsid w:val="001F1D85"/>
    <w:rsid w:val="0020062A"/>
    <w:rsid w:val="00200814"/>
    <w:rsid w:val="00205BF4"/>
    <w:rsid w:val="00212518"/>
    <w:rsid w:val="00250D67"/>
    <w:rsid w:val="00257278"/>
    <w:rsid w:val="00261FD1"/>
    <w:rsid w:val="00262685"/>
    <w:rsid w:val="00287C61"/>
    <w:rsid w:val="002A4A74"/>
    <w:rsid w:val="002B036E"/>
    <w:rsid w:val="002B1172"/>
    <w:rsid w:val="002B3147"/>
    <w:rsid w:val="002B4351"/>
    <w:rsid w:val="002E06DE"/>
    <w:rsid w:val="0031078D"/>
    <w:rsid w:val="00331E07"/>
    <w:rsid w:val="00331F84"/>
    <w:rsid w:val="0034380D"/>
    <w:rsid w:val="00346E4C"/>
    <w:rsid w:val="003541E3"/>
    <w:rsid w:val="00354934"/>
    <w:rsid w:val="00363D97"/>
    <w:rsid w:val="00377333"/>
    <w:rsid w:val="00382BCE"/>
    <w:rsid w:val="00384077"/>
    <w:rsid w:val="00392FDF"/>
    <w:rsid w:val="003A4BD5"/>
    <w:rsid w:val="003A62F3"/>
    <w:rsid w:val="003B6DA7"/>
    <w:rsid w:val="003E7B28"/>
    <w:rsid w:val="003F2DFD"/>
    <w:rsid w:val="003F467B"/>
    <w:rsid w:val="003F504A"/>
    <w:rsid w:val="00412D6F"/>
    <w:rsid w:val="00417802"/>
    <w:rsid w:val="004206AE"/>
    <w:rsid w:val="0042141F"/>
    <w:rsid w:val="004535F2"/>
    <w:rsid w:val="00461F9F"/>
    <w:rsid w:val="00466F08"/>
    <w:rsid w:val="00472634"/>
    <w:rsid w:val="004819E5"/>
    <w:rsid w:val="00494ED4"/>
    <w:rsid w:val="00497561"/>
    <w:rsid w:val="004A29DC"/>
    <w:rsid w:val="004B4E7A"/>
    <w:rsid w:val="004C68B6"/>
    <w:rsid w:val="004D032A"/>
    <w:rsid w:val="004E1D7F"/>
    <w:rsid w:val="004E3111"/>
    <w:rsid w:val="004F4B1E"/>
    <w:rsid w:val="00507664"/>
    <w:rsid w:val="005137CA"/>
    <w:rsid w:val="00543102"/>
    <w:rsid w:val="00544EE1"/>
    <w:rsid w:val="00556255"/>
    <w:rsid w:val="00570106"/>
    <w:rsid w:val="00583B06"/>
    <w:rsid w:val="00584A9E"/>
    <w:rsid w:val="00597861"/>
    <w:rsid w:val="00597FA8"/>
    <w:rsid w:val="005A73B4"/>
    <w:rsid w:val="005B022B"/>
    <w:rsid w:val="005B3F81"/>
    <w:rsid w:val="005B4075"/>
    <w:rsid w:val="005C346A"/>
    <w:rsid w:val="005C5684"/>
    <w:rsid w:val="005F3613"/>
    <w:rsid w:val="00607916"/>
    <w:rsid w:val="006103DD"/>
    <w:rsid w:val="00621B65"/>
    <w:rsid w:val="006343C7"/>
    <w:rsid w:val="006516BD"/>
    <w:rsid w:val="00665516"/>
    <w:rsid w:val="00670877"/>
    <w:rsid w:val="00673DF8"/>
    <w:rsid w:val="00673E52"/>
    <w:rsid w:val="0067582C"/>
    <w:rsid w:val="00676676"/>
    <w:rsid w:val="00686386"/>
    <w:rsid w:val="00692B5B"/>
    <w:rsid w:val="006954FF"/>
    <w:rsid w:val="006D2F54"/>
    <w:rsid w:val="006D6652"/>
    <w:rsid w:val="006E1E19"/>
    <w:rsid w:val="006F0C1C"/>
    <w:rsid w:val="006F1C96"/>
    <w:rsid w:val="007021BA"/>
    <w:rsid w:val="00704551"/>
    <w:rsid w:val="00704A85"/>
    <w:rsid w:val="0070633F"/>
    <w:rsid w:val="00710D2A"/>
    <w:rsid w:val="00726500"/>
    <w:rsid w:val="007422F4"/>
    <w:rsid w:val="00751862"/>
    <w:rsid w:val="00782A8E"/>
    <w:rsid w:val="00790159"/>
    <w:rsid w:val="00791934"/>
    <w:rsid w:val="007950D0"/>
    <w:rsid w:val="007B19D3"/>
    <w:rsid w:val="007B4093"/>
    <w:rsid w:val="007B74DD"/>
    <w:rsid w:val="007D10AC"/>
    <w:rsid w:val="008010F2"/>
    <w:rsid w:val="00803A60"/>
    <w:rsid w:val="00804E37"/>
    <w:rsid w:val="00805536"/>
    <w:rsid w:val="00805C06"/>
    <w:rsid w:val="00810152"/>
    <w:rsid w:val="00813D14"/>
    <w:rsid w:val="00817AC0"/>
    <w:rsid w:val="00825FC4"/>
    <w:rsid w:val="00830B35"/>
    <w:rsid w:val="00861C44"/>
    <w:rsid w:val="00861F82"/>
    <w:rsid w:val="00870DDE"/>
    <w:rsid w:val="00874F61"/>
    <w:rsid w:val="00877A97"/>
    <w:rsid w:val="008831B5"/>
    <w:rsid w:val="008A0FF3"/>
    <w:rsid w:val="008C0ADE"/>
    <w:rsid w:val="008C4695"/>
    <w:rsid w:val="008C7F47"/>
    <w:rsid w:val="008E1397"/>
    <w:rsid w:val="008F4AF6"/>
    <w:rsid w:val="0095183E"/>
    <w:rsid w:val="00964955"/>
    <w:rsid w:val="00966A8A"/>
    <w:rsid w:val="00992C1C"/>
    <w:rsid w:val="00992D06"/>
    <w:rsid w:val="00993075"/>
    <w:rsid w:val="00995436"/>
    <w:rsid w:val="009A1D99"/>
    <w:rsid w:val="009A68CF"/>
    <w:rsid w:val="009B0F08"/>
    <w:rsid w:val="009B7911"/>
    <w:rsid w:val="009C0D5C"/>
    <w:rsid w:val="009E3E3C"/>
    <w:rsid w:val="009E7CAE"/>
    <w:rsid w:val="009F7AF5"/>
    <w:rsid w:val="00A07FBD"/>
    <w:rsid w:val="00A118FA"/>
    <w:rsid w:val="00A13C0B"/>
    <w:rsid w:val="00A349AF"/>
    <w:rsid w:val="00A365E3"/>
    <w:rsid w:val="00A40875"/>
    <w:rsid w:val="00A42A22"/>
    <w:rsid w:val="00A5403F"/>
    <w:rsid w:val="00A56679"/>
    <w:rsid w:val="00A81B36"/>
    <w:rsid w:val="00A81BED"/>
    <w:rsid w:val="00AC121B"/>
    <w:rsid w:val="00AC320E"/>
    <w:rsid w:val="00AC3C19"/>
    <w:rsid w:val="00AD7447"/>
    <w:rsid w:val="00AD7E18"/>
    <w:rsid w:val="00B011DA"/>
    <w:rsid w:val="00B10D5D"/>
    <w:rsid w:val="00B118D4"/>
    <w:rsid w:val="00B40427"/>
    <w:rsid w:val="00B61C47"/>
    <w:rsid w:val="00B62753"/>
    <w:rsid w:val="00B8666F"/>
    <w:rsid w:val="00B9120D"/>
    <w:rsid w:val="00B93F7D"/>
    <w:rsid w:val="00BC1471"/>
    <w:rsid w:val="00BD79C8"/>
    <w:rsid w:val="00BE3D14"/>
    <w:rsid w:val="00BE4F50"/>
    <w:rsid w:val="00C140FC"/>
    <w:rsid w:val="00C226E0"/>
    <w:rsid w:val="00C232F6"/>
    <w:rsid w:val="00C35654"/>
    <w:rsid w:val="00C4444E"/>
    <w:rsid w:val="00C53DDD"/>
    <w:rsid w:val="00C6517B"/>
    <w:rsid w:val="00C76DCD"/>
    <w:rsid w:val="00C81544"/>
    <w:rsid w:val="00C82B62"/>
    <w:rsid w:val="00C92776"/>
    <w:rsid w:val="00C976C1"/>
    <w:rsid w:val="00CA3D24"/>
    <w:rsid w:val="00CF2732"/>
    <w:rsid w:val="00D004BC"/>
    <w:rsid w:val="00D25EBB"/>
    <w:rsid w:val="00D33477"/>
    <w:rsid w:val="00D452B2"/>
    <w:rsid w:val="00D46871"/>
    <w:rsid w:val="00D64CC8"/>
    <w:rsid w:val="00DC21E0"/>
    <w:rsid w:val="00DC78DB"/>
    <w:rsid w:val="00DD53E2"/>
    <w:rsid w:val="00E054CE"/>
    <w:rsid w:val="00E0762E"/>
    <w:rsid w:val="00E101FA"/>
    <w:rsid w:val="00E244AC"/>
    <w:rsid w:val="00E26B14"/>
    <w:rsid w:val="00E354C8"/>
    <w:rsid w:val="00E41106"/>
    <w:rsid w:val="00E43589"/>
    <w:rsid w:val="00E449CB"/>
    <w:rsid w:val="00E57B60"/>
    <w:rsid w:val="00E6020D"/>
    <w:rsid w:val="00E72C7A"/>
    <w:rsid w:val="00E760EA"/>
    <w:rsid w:val="00E969FB"/>
    <w:rsid w:val="00EA1F8A"/>
    <w:rsid w:val="00EA44D4"/>
    <w:rsid w:val="00EB0CBC"/>
    <w:rsid w:val="00EB2872"/>
    <w:rsid w:val="00EC4497"/>
    <w:rsid w:val="00ED2CF9"/>
    <w:rsid w:val="00ED332E"/>
    <w:rsid w:val="00F01602"/>
    <w:rsid w:val="00F27D72"/>
    <w:rsid w:val="00F33210"/>
    <w:rsid w:val="00F907F3"/>
    <w:rsid w:val="00FA70D4"/>
    <w:rsid w:val="00FA7E80"/>
    <w:rsid w:val="00FB52B1"/>
    <w:rsid w:val="00FB6F63"/>
    <w:rsid w:val="00FD1E02"/>
    <w:rsid w:val="00FD525A"/>
    <w:rsid w:val="00FD682B"/>
    <w:rsid w:val="00FD6DAA"/>
    <w:rsid w:val="00FF442C"/>
    <w:rsid w:val="00FF5D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628335"/>
  <w15:docId w15:val="{269A9F88-A7E5-4EC6-A352-774FF5D9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477"/>
  </w:style>
  <w:style w:type="paragraph" w:styleId="Titre1">
    <w:name w:val="heading 1"/>
    <w:basedOn w:val="Normal"/>
    <w:next w:val="Normal"/>
    <w:link w:val="Titre1Car"/>
    <w:uiPriority w:val="9"/>
    <w:qFormat/>
    <w:pPr>
      <w:keepNext/>
      <w:keepLines/>
      <w:spacing w:before="400" w:after="120"/>
      <w:outlineLvl w:val="0"/>
    </w:pPr>
    <w:rPr>
      <w:sz w:val="40"/>
      <w:szCs w:val="40"/>
    </w:rPr>
  </w:style>
  <w:style w:type="paragraph" w:styleId="Titre2">
    <w:name w:val="heading 2"/>
    <w:basedOn w:val="Normal"/>
    <w:next w:val="Normal"/>
    <w:link w:val="Titre2Car"/>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E244AC"/>
    <w:pPr>
      <w:tabs>
        <w:tab w:val="center" w:pos="4320"/>
        <w:tab w:val="right" w:pos="8640"/>
      </w:tabs>
      <w:spacing w:line="240" w:lineRule="auto"/>
    </w:pPr>
  </w:style>
  <w:style w:type="character" w:customStyle="1" w:styleId="En-tteCar">
    <w:name w:val="En-tête Car"/>
    <w:basedOn w:val="Policepardfaut"/>
    <w:link w:val="En-tte"/>
    <w:uiPriority w:val="99"/>
    <w:rsid w:val="00E244AC"/>
  </w:style>
  <w:style w:type="paragraph" w:styleId="Pieddepage">
    <w:name w:val="footer"/>
    <w:basedOn w:val="Normal"/>
    <w:link w:val="PieddepageCar"/>
    <w:uiPriority w:val="99"/>
    <w:unhideWhenUsed/>
    <w:rsid w:val="00E244AC"/>
    <w:pPr>
      <w:tabs>
        <w:tab w:val="center" w:pos="4320"/>
        <w:tab w:val="right" w:pos="8640"/>
      </w:tabs>
      <w:spacing w:line="240" w:lineRule="auto"/>
    </w:pPr>
  </w:style>
  <w:style w:type="character" w:customStyle="1" w:styleId="PieddepageCar">
    <w:name w:val="Pied de page Car"/>
    <w:basedOn w:val="Policepardfaut"/>
    <w:link w:val="Pieddepage"/>
    <w:uiPriority w:val="99"/>
    <w:rsid w:val="00E244AC"/>
  </w:style>
  <w:style w:type="character" w:styleId="Hyperlien">
    <w:name w:val="Hyperlink"/>
    <w:basedOn w:val="Policepardfaut"/>
    <w:uiPriority w:val="99"/>
    <w:unhideWhenUsed/>
    <w:rsid w:val="00A81BED"/>
    <w:rPr>
      <w:color w:val="0000FF" w:themeColor="hyperlink"/>
      <w:u w:val="single"/>
    </w:rPr>
  </w:style>
  <w:style w:type="character" w:customStyle="1" w:styleId="Titre2Car">
    <w:name w:val="Titre 2 Car"/>
    <w:basedOn w:val="Policepardfaut"/>
    <w:link w:val="Titre2"/>
    <w:uiPriority w:val="9"/>
    <w:rsid w:val="00C4444E"/>
    <w:rPr>
      <w:sz w:val="32"/>
      <w:szCs w:val="32"/>
    </w:rPr>
  </w:style>
  <w:style w:type="character" w:styleId="Appelnotedebasdep">
    <w:name w:val="footnote reference"/>
    <w:uiPriority w:val="99"/>
    <w:semiHidden/>
    <w:rsid w:val="00C4444E"/>
    <w:rPr>
      <w:rFonts w:cs="Times New Roman"/>
      <w:vertAlign w:val="superscript"/>
    </w:rPr>
  </w:style>
  <w:style w:type="paragraph" w:styleId="Notedebasdepage">
    <w:name w:val="footnote text"/>
    <w:basedOn w:val="Normal"/>
    <w:link w:val="NotedebasdepageCar"/>
    <w:uiPriority w:val="99"/>
    <w:rsid w:val="00C4444E"/>
    <w:pPr>
      <w:spacing w:line="240" w:lineRule="auto"/>
    </w:pPr>
    <w:rPr>
      <w:rFonts w:ascii="Calibri" w:eastAsia="Times New Roman" w:hAnsi="Calibri" w:cs="Times New Roman"/>
      <w:sz w:val="20"/>
      <w:szCs w:val="20"/>
    </w:rPr>
  </w:style>
  <w:style w:type="character" w:customStyle="1" w:styleId="NotedebasdepageCar">
    <w:name w:val="Note de bas de page Car"/>
    <w:basedOn w:val="Policepardfaut"/>
    <w:link w:val="Notedebasdepage"/>
    <w:uiPriority w:val="99"/>
    <w:rsid w:val="00C4444E"/>
    <w:rPr>
      <w:rFonts w:ascii="Calibri" w:eastAsia="Times New Roman" w:hAnsi="Calibri" w:cs="Times New Roman"/>
      <w:sz w:val="20"/>
      <w:szCs w:val="20"/>
    </w:rPr>
  </w:style>
  <w:style w:type="paragraph" w:customStyle="1" w:styleId="Normalpuces">
    <w:name w:val="Normal puces"/>
    <w:basedOn w:val="Normal"/>
    <w:qFormat/>
    <w:rsid w:val="00C4444E"/>
    <w:pPr>
      <w:tabs>
        <w:tab w:val="num" w:pos="284"/>
      </w:tabs>
      <w:autoSpaceDE w:val="0"/>
      <w:autoSpaceDN w:val="0"/>
      <w:spacing w:before="120" w:line="240" w:lineRule="auto"/>
    </w:pPr>
    <w:rPr>
      <w:rFonts w:ascii="Arial Narrow" w:eastAsia="Times New Roman" w:hAnsi="Arial Narrow" w:cs="Times New Roman"/>
      <w:szCs w:val="24"/>
      <w:lang w:eastAsia="fr-FR"/>
    </w:rPr>
  </w:style>
  <w:style w:type="paragraph" w:styleId="Paragraphedeliste">
    <w:name w:val="List Paragraph"/>
    <w:basedOn w:val="Normal"/>
    <w:uiPriority w:val="1"/>
    <w:qFormat/>
    <w:rsid w:val="004819E5"/>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paragraph" w:styleId="NormalWeb">
    <w:name w:val="Normal (Web)"/>
    <w:basedOn w:val="Normal"/>
    <w:uiPriority w:val="99"/>
    <w:rsid w:val="004819E5"/>
    <w:pPr>
      <w:spacing w:before="100" w:beforeAutospacing="1" w:after="100" w:afterAutospacing="1" w:line="240" w:lineRule="auto"/>
    </w:pPr>
    <w:rPr>
      <w:rFonts w:ascii="Times New Roman" w:eastAsia="Times New Roman" w:hAnsi="Times New Roman" w:cs="Times New Roman"/>
      <w:sz w:val="24"/>
      <w:szCs w:val="24"/>
    </w:rPr>
  </w:style>
  <w:style w:type="paragraph" w:styleId="Corpsdetexte">
    <w:name w:val="Body Text"/>
    <w:basedOn w:val="Normal"/>
    <w:link w:val="CorpsdetexteCar"/>
    <w:uiPriority w:val="1"/>
    <w:qFormat/>
    <w:rsid w:val="007950D0"/>
    <w:pPr>
      <w:widowControl w:val="0"/>
      <w:autoSpaceDE w:val="0"/>
      <w:autoSpaceDN w:val="0"/>
      <w:spacing w:line="240" w:lineRule="auto"/>
    </w:pPr>
    <w:rPr>
      <w:rFonts w:ascii="Tahoma" w:eastAsia="Tahoma" w:hAnsi="Tahoma" w:cs="Tahoma"/>
      <w:sz w:val="17"/>
      <w:szCs w:val="17"/>
      <w:lang w:val="fr-FR" w:eastAsia="en-US"/>
    </w:rPr>
  </w:style>
  <w:style w:type="character" w:customStyle="1" w:styleId="CorpsdetexteCar">
    <w:name w:val="Corps de texte Car"/>
    <w:basedOn w:val="Policepardfaut"/>
    <w:link w:val="Corpsdetexte"/>
    <w:uiPriority w:val="1"/>
    <w:rsid w:val="007950D0"/>
    <w:rPr>
      <w:rFonts w:ascii="Tahoma" w:eastAsia="Tahoma" w:hAnsi="Tahoma" w:cs="Tahoma"/>
      <w:sz w:val="17"/>
      <w:szCs w:val="17"/>
      <w:lang w:val="fr-FR" w:eastAsia="en-US"/>
    </w:rPr>
  </w:style>
  <w:style w:type="paragraph" w:styleId="En-ttedetabledesmatires">
    <w:name w:val="TOC Heading"/>
    <w:basedOn w:val="Titre1"/>
    <w:next w:val="Normal"/>
    <w:uiPriority w:val="39"/>
    <w:unhideWhenUsed/>
    <w:qFormat/>
    <w:rsid w:val="00C226E0"/>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M2">
    <w:name w:val="toc 2"/>
    <w:basedOn w:val="Normal"/>
    <w:next w:val="Normal"/>
    <w:autoRedefine/>
    <w:uiPriority w:val="39"/>
    <w:unhideWhenUsed/>
    <w:rsid w:val="00C226E0"/>
    <w:pPr>
      <w:spacing w:before="120"/>
      <w:ind w:left="220"/>
    </w:pPr>
    <w:rPr>
      <w:rFonts w:asciiTheme="minorHAnsi" w:hAnsiTheme="minorHAnsi"/>
      <w:b/>
      <w:bCs/>
    </w:rPr>
  </w:style>
  <w:style w:type="character" w:customStyle="1" w:styleId="Titre1Car">
    <w:name w:val="Titre 1 Car"/>
    <w:basedOn w:val="Policepardfaut"/>
    <w:link w:val="Titre1"/>
    <w:uiPriority w:val="9"/>
    <w:rsid w:val="009E3E3C"/>
    <w:rPr>
      <w:sz w:val="40"/>
      <w:szCs w:val="40"/>
    </w:rPr>
  </w:style>
  <w:style w:type="paragraph" w:styleId="TM1">
    <w:name w:val="toc 1"/>
    <w:basedOn w:val="Normal"/>
    <w:next w:val="Normal"/>
    <w:autoRedefine/>
    <w:uiPriority w:val="39"/>
    <w:unhideWhenUsed/>
    <w:rsid w:val="00673E52"/>
    <w:pPr>
      <w:spacing w:before="120"/>
    </w:pPr>
    <w:rPr>
      <w:rFonts w:asciiTheme="minorHAnsi" w:hAnsiTheme="minorHAnsi"/>
      <w:b/>
      <w:bCs/>
      <w:i/>
      <w:iCs/>
      <w:sz w:val="24"/>
      <w:szCs w:val="24"/>
    </w:rPr>
  </w:style>
  <w:style w:type="paragraph" w:styleId="TM3">
    <w:name w:val="toc 3"/>
    <w:basedOn w:val="Normal"/>
    <w:next w:val="Normal"/>
    <w:autoRedefine/>
    <w:uiPriority w:val="39"/>
    <w:unhideWhenUsed/>
    <w:rsid w:val="00673E52"/>
    <w:pPr>
      <w:ind w:left="440"/>
    </w:pPr>
    <w:rPr>
      <w:rFonts w:asciiTheme="minorHAnsi" w:hAnsiTheme="minorHAnsi"/>
      <w:sz w:val="20"/>
      <w:szCs w:val="20"/>
    </w:rPr>
  </w:style>
  <w:style w:type="paragraph" w:styleId="TM4">
    <w:name w:val="toc 4"/>
    <w:basedOn w:val="Normal"/>
    <w:next w:val="Normal"/>
    <w:autoRedefine/>
    <w:uiPriority w:val="39"/>
    <w:unhideWhenUsed/>
    <w:rsid w:val="003A4BD5"/>
    <w:pPr>
      <w:ind w:left="660"/>
    </w:pPr>
    <w:rPr>
      <w:rFonts w:asciiTheme="minorHAnsi" w:hAnsiTheme="minorHAnsi"/>
      <w:sz w:val="20"/>
      <w:szCs w:val="20"/>
    </w:rPr>
  </w:style>
  <w:style w:type="paragraph" w:styleId="TM5">
    <w:name w:val="toc 5"/>
    <w:basedOn w:val="Normal"/>
    <w:next w:val="Normal"/>
    <w:autoRedefine/>
    <w:uiPriority w:val="39"/>
    <w:unhideWhenUsed/>
    <w:rsid w:val="003A4BD5"/>
    <w:pPr>
      <w:ind w:left="880"/>
    </w:pPr>
    <w:rPr>
      <w:rFonts w:asciiTheme="minorHAnsi" w:hAnsiTheme="minorHAnsi"/>
      <w:sz w:val="20"/>
      <w:szCs w:val="20"/>
    </w:rPr>
  </w:style>
  <w:style w:type="paragraph" w:styleId="TM6">
    <w:name w:val="toc 6"/>
    <w:basedOn w:val="Normal"/>
    <w:next w:val="Normal"/>
    <w:autoRedefine/>
    <w:uiPriority w:val="39"/>
    <w:unhideWhenUsed/>
    <w:rsid w:val="003A4BD5"/>
    <w:pPr>
      <w:ind w:left="1100"/>
    </w:pPr>
    <w:rPr>
      <w:rFonts w:asciiTheme="minorHAnsi" w:hAnsiTheme="minorHAnsi"/>
      <w:sz w:val="20"/>
      <w:szCs w:val="20"/>
    </w:rPr>
  </w:style>
  <w:style w:type="paragraph" w:styleId="TM7">
    <w:name w:val="toc 7"/>
    <w:basedOn w:val="Normal"/>
    <w:next w:val="Normal"/>
    <w:autoRedefine/>
    <w:uiPriority w:val="39"/>
    <w:unhideWhenUsed/>
    <w:rsid w:val="003A4BD5"/>
    <w:pPr>
      <w:ind w:left="1320"/>
    </w:pPr>
    <w:rPr>
      <w:rFonts w:asciiTheme="minorHAnsi" w:hAnsiTheme="minorHAnsi"/>
      <w:sz w:val="20"/>
      <w:szCs w:val="20"/>
    </w:rPr>
  </w:style>
  <w:style w:type="paragraph" w:styleId="TM8">
    <w:name w:val="toc 8"/>
    <w:basedOn w:val="Normal"/>
    <w:next w:val="Normal"/>
    <w:autoRedefine/>
    <w:uiPriority w:val="39"/>
    <w:unhideWhenUsed/>
    <w:rsid w:val="003A4BD5"/>
    <w:pPr>
      <w:ind w:left="1540"/>
    </w:pPr>
    <w:rPr>
      <w:rFonts w:asciiTheme="minorHAnsi" w:hAnsiTheme="minorHAnsi"/>
      <w:sz w:val="20"/>
      <w:szCs w:val="20"/>
    </w:rPr>
  </w:style>
  <w:style w:type="paragraph" w:styleId="TM9">
    <w:name w:val="toc 9"/>
    <w:basedOn w:val="Normal"/>
    <w:next w:val="Normal"/>
    <w:autoRedefine/>
    <w:uiPriority w:val="39"/>
    <w:unhideWhenUsed/>
    <w:rsid w:val="003A4BD5"/>
    <w:pPr>
      <w:ind w:left="1760"/>
    </w:pPr>
    <w:rPr>
      <w:rFonts w:asciiTheme="minorHAnsi" w:hAnsiTheme="minorHAnsi"/>
      <w:sz w:val="20"/>
      <w:szCs w:val="20"/>
    </w:rPr>
  </w:style>
  <w:style w:type="table" w:styleId="Grilledutableau">
    <w:name w:val="Table Grid"/>
    <w:basedOn w:val="TableauNormal"/>
    <w:uiPriority w:val="39"/>
    <w:rsid w:val="00EA1F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1B1B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pocb.org" TargetMode="External"/><Relationship Id="rId18" Type="http://schemas.openxmlformats.org/officeDocument/2006/relationships/hyperlink" Target="https://cdn-contenu.quebec.ca/cdn-contenu/adm/min/emploi-solidarite-sociale/publications-adm/politiques-directives-procedures/PO_action-communautaire_MESS.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info@trpocb.org" TargetMode="External"/><Relationship Id="rId17" Type="http://schemas.openxmlformats.org/officeDocument/2006/relationships/hyperlink" Target="file://CIARA/PartageTRPOCB/Documents%20produits%20par%20TRPOCB/M&#233;moires/rq-aca.org"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trpocb.org/campagnecasssh/" TargetMode="External"/><Relationship Id="rId23" Type="http://schemas.openxmlformats.org/officeDocument/2006/relationships/hyperlink" Target="mailto:coordination@trpocb.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dn-contenu.quebec.ca/cdn-contenu/adm/min/emploi-solidarite-sociale/publications-adm/politiques-directives-procedures/PO_action-communautaire_MES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rpocb.org/membres/liste/" TargetMode="External"/><Relationship Id="rId22" Type="http://schemas.openxmlformats.org/officeDocument/2006/relationships/hyperlink" Target="https://cdn-contenu.quebec.ca/cdn-contenu/adm/min/emploi-solidarite-sociale/publications-adm/politiques-directives-procedures/PO_action-communautaire_MESS.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5d25d2-0c3f-426a-83a4-d0cf64599e04" xsi:nil="true"/>
    <lcf76f155ced4ddcb4097134ff3c332f xmlns="b8d4d84c-c491-445f-b2d2-27f1e9ddc19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97643D1D4D9347AA0297DEEA93E74E" ma:contentTypeVersion="13" ma:contentTypeDescription="Crée un document." ma:contentTypeScope="" ma:versionID="bd1e5d488359222b25b37ebeeb94e8bc">
  <xsd:schema xmlns:xsd="http://www.w3.org/2001/XMLSchema" xmlns:xs="http://www.w3.org/2001/XMLSchema" xmlns:p="http://schemas.microsoft.com/office/2006/metadata/properties" xmlns:ns2="b8d4d84c-c491-445f-b2d2-27f1e9ddc196" xmlns:ns3="c55d25d2-0c3f-426a-83a4-d0cf64599e04" targetNamespace="http://schemas.microsoft.com/office/2006/metadata/properties" ma:root="true" ma:fieldsID="24e8ef548b47ee41b86ec2d379d33464" ns2:_="" ns3:_="">
    <xsd:import namespace="b8d4d84c-c491-445f-b2d2-27f1e9ddc196"/>
    <xsd:import namespace="c55d25d2-0c3f-426a-83a4-d0cf64599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d84c-c491-445f-b2d2-27f1e9dd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76c04c2-454a-4991-89a7-9db4f6c93f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d25d2-0c3f-426a-83a4-d0cf64599e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db6926-bcbb-4b27-808e-cbd9d13baafe}" ma:internalName="TaxCatchAll" ma:showField="CatchAllData" ma:web="c55d25d2-0c3f-426a-83a4-d0cf64599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A6103-41FA-4E01-A30A-BC6B037E0E3D}">
  <ds:schemaRef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c55d25d2-0c3f-426a-83a4-d0cf64599e04"/>
    <ds:schemaRef ds:uri="http://purl.org/dc/terms/"/>
    <ds:schemaRef ds:uri="http://purl.org/dc/dcmitype/"/>
    <ds:schemaRef ds:uri="http://schemas.microsoft.com/office/infopath/2007/PartnerControls"/>
    <ds:schemaRef ds:uri="b8d4d84c-c491-445f-b2d2-27f1e9ddc196"/>
    <ds:schemaRef ds:uri="http://purl.org/dc/elements/1.1/"/>
  </ds:schemaRefs>
</ds:datastoreItem>
</file>

<file path=customXml/itemProps2.xml><?xml version="1.0" encoding="utf-8"?>
<ds:datastoreItem xmlns:ds="http://schemas.openxmlformats.org/officeDocument/2006/customXml" ds:itemID="{32035A72-3378-4ECB-8A76-0DE42AF59D3E}">
  <ds:schemaRefs>
    <ds:schemaRef ds:uri="http://schemas.openxmlformats.org/officeDocument/2006/bibliography"/>
  </ds:schemaRefs>
</ds:datastoreItem>
</file>

<file path=customXml/itemProps3.xml><?xml version="1.0" encoding="utf-8"?>
<ds:datastoreItem xmlns:ds="http://schemas.openxmlformats.org/officeDocument/2006/customXml" ds:itemID="{2ED99A8E-9FF4-4085-8AF5-A2ECF1732078}">
  <ds:schemaRefs>
    <ds:schemaRef ds:uri="http://schemas.microsoft.com/sharepoint/v3/contenttype/forms"/>
  </ds:schemaRefs>
</ds:datastoreItem>
</file>

<file path=customXml/itemProps4.xml><?xml version="1.0" encoding="utf-8"?>
<ds:datastoreItem xmlns:ds="http://schemas.openxmlformats.org/officeDocument/2006/customXml" ds:itemID="{79967F74-78F9-4D8D-9DF4-2873BBADB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d84c-c491-445f-b2d2-27f1e9ddc196"/>
    <ds:schemaRef ds:uri="c55d25d2-0c3f-426a-83a4-d0cf64599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14</Pages>
  <Words>4117</Words>
  <Characters>24126</Characters>
  <Application>Microsoft Office Word</Application>
  <DocSecurity>0</DocSecurity>
  <Lines>415</Lines>
  <Paragraphs>206</Paragraphs>
  <ScaleCrop>false</ScaleCrop>
  <Company/>
  <LinksUpToDate>false</LinksUpToDate>
  <CharactersWithSpaces>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Mercédez Roberge</cp:lastModifiedBy>
  <cp:revision>231</cp:revision>
  <cp:lastPrinted>2025-11-30T20:13:00Z</cp:lastPrinted>
  <dcterms:created xsi:type="dcterms:W3CDTF">2025-11-28T22:34:00Z</dcterms:created>
  <dcterms:modified xsi:type="dcterms:W3CDTF">2025-11-30T20:37:00Z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0x010100A397643D1D4D9347AA0297DEEA93E74E</vt:lpwstr>
  </property>
  <property fmtid="{D5CDD505-2E9C-101B-9397-08002B2CF9AE}" pid="3" name="MediaServiceImageTags">
    <vt:lpwstr/>
  </property>
</Properties>
</file>