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28BBD" w14:textId="72DA5469" w:rsidR="00832059" w:rsidRPr="00FD7593" w:rsidRDefault="00E5601E">
      <w:pPr>
        <w:pStyle w:val="Titre6"/>
        <w:rPr>
          <w:rFonts w:ascii="Arial Narrow" w:hAnsi="Arial Narrow"/>
          <w:sz w:val="24"/>
          <w:szCs w:val="24"/>
        </w:rPr>
      </w:pPr>
      <w:r w:rsidRPr="00FD7593">
        <w:rPr>
          <w:rFonts w:ascii="Arial Narrow" w:hAnsi="Arial Narrow"/>
          <w:noProof/>
          <w:color w:val="000000"/>
          <w:sz w:val="24"/>
          <w:szCs w:val="24"/>
        </w:rPr>
        <w:drawing>
          <wp:inline distT="0" distB="0" distL="0" distR="0" wp14:anchorId="3CE547C4" wp14:editId="2C2B4709">
            <wp:extent cx="5943600" cy="1470660"/>
            <wp:effectExtent l="0" t="0" r="0" b="0"/>
            <wp:docPr id="2702284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28423" name="Image 270228423"/>
                    <pic:cNvPicPr/>
                  </pic:nvPicPr>
                  <pic:blipFill rotWithShape="1">
                    <a:blip r:embed="rId7" cstate="print">
                      <a:extLst>
                        <a:ext uri="{28A0092B-C50C-407E-A947-70E740481C1C}">
                          <a14:useLocalDpi xmlns:a14="http://schemas.microsoft.com/office/drawing/2010/main" val="0"/>
                        </a:ext>
                      </a:extLst>
                    </a:blip>
                    <a:srcRect b="50513"/>
                    <a:stretch>
                      <a:fillRect/>
                    </a:stretch>
                  </pic:blipFill>
                  <pic:spPr bwMode="auto">
                    <a:xfrm>
                      <a:off x="0" y="0"/>
                      <a:ext cx="5943600" cy="1470660"/>
                    </a:xfrm>
                    <a:prstGeom prst="rect">
                      <a:avLst/>
                    </a:prstGeom>
                    <a:ln>
                      <a:noFill/>
                    </a:ln>
                    <a:extLst>
                      <a:ext uri="{53640926-AAD7-44D8-BBD7-CCE9431645EC}">
                        <a14:shadowObscured xmlns:a14="http://schemas.microsoft.com/office/drawing/2010/main"/>
                      </a:ext>
                    </a:extLst>
                  </pic:spPr>
                </pic:pic>
              </a:graphicData>
            </a:graphic>
          </wp:inline>
        </w:drawing>
      </w:r>
    </w:p>
    <w:p w14:paraId="00000021" w14:textId="21A0AD76" w:rsidR="00C633FE" w:rsidRPr="00A522D1" w:rsidRDefault="00622F17" w:rsidP="00A522D1">
      <w:pPr>
        <w:rPr>
          <w:rFonts w:ascii="Arial Narrow" w:hAnsi="Arial Narrow"/>
          <w:i/>
          <w:iCs/>
          <w:sz w:val="24"/>
          <w:szCs w:val="24"/>
          <w:lang w:val="fr-CA"/>
        </w:rPr>
      </w:pPr>
      <w:r w:rsidRPr="00A522D1">
        <w:rPr>
          <w:rFonts w:ascii="Arial Narrow" w:hAnsi="Arial Narrow"/>
          <w:i/>
          <w:iCs/>
          <w:sz w:val="24"/>
          <w:szCs w:val="24"/>
          <w:lang w:val="fr-CA"/>
        </w:rPr>
        <w:t>Communiqué</w:t>
      </w:r>
      <w:r w:rsidR="00832059" w:rsidRPr="00A522D1">
        <w:rPr>
          <w:rFonts w:ascii="Arial Narrow" w:hAnsi="Arial Narrow"/>
          <w:i/>
          <w:iCs/>
          <w:sz w:val="24"/>
          <w:szCs w:val="24"/>
          <w:lang w:val="fr-CA"/>
        </w:rPr>
        <w:t xml:space="preserve"> pour diffusion </w:t>
      </w:r>
      <w:proofErr w:type="spellStart"/>
      <w:r w:rsidR="00E5601E" w:rsidRPr="00A522D1">
        <w:rPr>
          <w:rFonts w:ascii="Arial Narrow" w:hAnsi="Arial Narrow"/>
          <w:i/>
          <w:iCs/>
          <w:sz w:val="24"/>
          <w:szCs w:val="24"/>
          <w:lang w:val="fr-CA"/>
        </w:rPr>
        <w:t>immédiate</w:t>
      </w:r>
      <w:proofErr w:type="spellEnd"/>
    </w:p>
    <w:p w14:paraId="00000022" w14:textId="77777777" w:rsidR="00C633FE" w:rsidRPr="00FD7593" w:rsidRDefault="00C633FE">
      <w:pPr>
        <w:rPr>
          <w:rFonts w:ascii="Arial Narrow" w:hAnsi="Arial Narrow"/>
          <w:sz w:val="24"/>
          <w:szCs w:val="24"/>
        </w:rPr>
      </w:pPr>
    </w:p>
    <w:p w14:paraId="00000023" w14:textId="77777777" w:rsidR="00C633FE" w:rsidRPr="00FD7593" w:rsidRDefault="00622F17">
      <w:pPr>
        <w:rPr>
          <w:rFonts w:ascii="Arial Narrow" w:hAnsi="Arial Narrow"/>
          <w:b/>
          <w:bCs/>
          <w:sz w:val="26"/>
          <w:szCs w:val="26"/>
          <w:lang w:val="fr-CA"/>
        </w:rPr>
      </w:pPr>
      <w:proofErr w:type="gramStart"/>
      <w:r w:rsidRPr="00FD7593">
        <w:rPr>
          <w:rFonts w:ascii="Arial Narrow" w:hAnsi="Arial Narrow"/>
          <w:b/>
          <w:bCs/>
          <w:sz w:val="26"/>
          <w:szCs w:val="26"/>
          <w:lang w:val="fr-CA"/>
        </w:rPr>
        <w:t>«Rapport</w:t>
      </w:r>
      <w:proofErr w:type="gramEnd"/>
      <w:r w:rsidRPr="00FD7593">
        <w:rPr>
          <w:rFonts w:ascii="Arial Narrow" w:hAnsi="Arial Narrow"/>
          <w:b/>
          <w:bCs/>
          <w:sz w:val="26"/>
          <w:szCs w:val="26"/>
          <w:lang w:val="fr-CA"/>
        </w:rPr>
        <w:t xml:space="preserve"> </w:t>
      </w:r>
      <w:proofErr w:type="gramStart"/>
      <w:r w:rsidRPr="00FD7593">
        <w:rPr>
          <w:rFonts w:ascii="Arial Narrow" w:hAnsi="Arial Narrow"/>
          <w:b/>
          <w:bCs/>
          <w:sz w:val="26"/>
          <w:szCs w:val="26"/>
          <w:lang w:val="fr-CA"/>
        </w:rPr>
        <w:t>spécial»</w:t>
      </w:r>
      <w:proofErr w:type="gramEnd"/>
      <w:r w:rsidRPr="00FD7593">
        <w:rPr>
          <w:rFonts w:ascii="Arial Narrow" w:hAnsi="Arial Narrow"/>
          <w:b/>
          <w:bCs/>
          <w:sz w:val="26"/>
          <w:szCs w:val="26"/>
          <w:lang w:val="fr-CA"/>
        </w:rPr>
        <w:t xml:space="preserve"> du Commissaire au lobbyisme : une nouvelle manœuvre pour faire passer des propositions ayant toujours été rejetées, tant du niveau politique que de la société civile</w:t>
      </w:r>
    </w:p>
    <w:p w14:paraId="00000024" w14:textId="77777777" w:rsidR="00C633FE" w:rsidRPr="00FD7593" w:rsidRDefault="00C633FE">
      <w:pPr>
        <w:rPr>
          <w:rFonts w:ascii="Arial Narrow" w:hAnsi="Arial Narrow"/>
          <w:sz w:val="24"/>
          <w:szCs w:val="24"/>
          <w:lang w:val="fr-CA"/>
        </w:rPr>
      </w:pPr>
    </w:p>
    <w:p w14:paraId="00000025" w14:textId="77777777" w:rsidR="00C633FE" w:rsidRPr="00FD7593" w:rsidRDefault="00622F17">
      <w:pPr>
        <w:rPr>
          <w:rFonts w:ascii="Arial Narrow" w:hAnsi="Arial Narrow"/>
          <w:sz w:val="24"/>
          <w:szCs w:val="24"/>
          <w:lang w:val="fr-CA"/>
        </w:rPr>
      </w:pPr>
      <w:r w:rsidRPr="00FD7593">
        <w:rPr>
          <w:rFonts w:ascii="Arial Narrow" w:hAnsi="Arial Narrow"/>
          <w:i/>
          <w:iCs/>
          <w:sz w:val="24"/>
          <w:szCs w:val="24"/>
          <w:lang w:val="fr-CA"/>
        </w:rPr>
        <w:t xml:space="preserve">Montréal, le 10 juin 2026. </w:t>
      </w:r>
      <w:r w:rsidRPr="00FD7593">
        <w:rPr>
          <w:rFonts w:ascii="Arial Narrow" w:hAnsi="Arial Narrow"/>
          <w:sz w:val="24"/>
          <w:szCs w:val="24"/>
          <w:lang w:val="fr-CA"/>
        </w:rPr>
        <w:t>Les organisations ayant initié la campagne «</w:t>
      </w:r>
      <w:hyperlink r:id="rId8">
        <w:r w:rsidRPr="00FD7593">
          <w:rPr>
            <w:rFonts w:ascii="Arial Narrow" w:hAnsi="Arial Narrow"/>
            <w:color w:val="1155CC"/>
            <w:sz w:val="24"/>
            <w:szCs w:val="24"/>
            <w:u w:val="single"/>
            <w:lang w:val="fr-CA"/>
          </w:rPr>
          <w:t>Lobby: Halte aux dérapages</w:t>
        </w:r>
      </w:hyperlink>
      <w:r w:rsidRPr="00FD7593">
        <w:rPr>
          <w:rFonts w:ascii="Arial Narrow" w:hAnsi="Arial Narrow"/>
          <w:sz w:val="24"/>
          <w:szCs w:val="24"/>
          <w:lang w:val="fr-CA"/>
        </w:rPr>
        <w:t>» dénoncent le contenu et la forme du</w:t>
      </w:r>
      <w:proofErr w:type="gramStart"/>
      <w:r w:rsidRPr="00FD7593">
        <w:rPr>
          <w:rFonts w:ascii="Arial Narrow" w:hAnsi="Arial Narrow"/>
          <w:sz w:val="24"/>
          <w:szCs w:val="24"/>
          <w:lang w:val="fr-CA"/>
        </w:rPr>
        <w:t xml:space="preserve"> «Rapport</w:t>
      </w:r>
      <w:proofErr w:type="gramEnd"/>
      <w:r w:rsidRPr="00FD7593">
        <w:rPr>
          <w:rFonts w:ascii="Arial Narrow" w:hAnsi="Arial Narrow"/>
          <w:sz w:val="24"/>
          <w:szCs w:val="24"/>
          <w:lang w:val="fr-CA"/>
        </w:rPr>
        <w:t xml:space="preserve"> </w:t>
      </w:r>
      <w:proofErr w:type="gramStart"/>
      <w:r w:rsidRPr="00FD7593">
        <w:rPr>
          <w:rFonts w:ascii="Arial Narrow" w:hAnsi="Arial Narrow"/>
          <w:sz w:val="24"/>
          <w:szCs w:val="24"/>
          <w:lang w:val="fr-CA"/>
        </w:rPr>
        <w:t>spécial»</w:t>
      </w:r>
      <w:proofErr w:type="gramEnd"/>
      <w:r w:rsidRPr="00FD7593">
        <w:rPr>
          <w:rFonts w:ascii="Arial Narrow" w:hAnsi="Arial Narrow"/>
          <w:sz w:val="24"/>
          <w:szCs w:val="24"/>
          <w:lang w:val="fr-CA"/>
        </w:rPr>
        <w:t xml:space="preserve"> du commissaire au lobbyisme du Québec publié le 28 mai par Jean-François Routhier. Pour Attac Québec, la coalition Mon OSBL n’est pas un lobby et Vigilance OGM, le Commissaire fait fi, encore une fois, des consensus exprimés. Pourtant, en février dernier, 114 organisations représentant divers milieux ont endossé </w:t>
      </w:r>
      <w:hyperlink r:id="rId9">
        <w:r w:rsidRPr="00FD7593">
          <w:rPr>
            <w:rFonts w:ascii="Arial Narrow" w:hAnsi="Arial Narrow"/>
            <w:color w:val="1155CC"/>
            <w:sz w:val="24"/>
            <w:szCs w:val="24"/>
            <w:u w:val="single"/>
            <w:lang w:val="fr-CA"/>
          </w:rPr>
          <w:t>29 propositions</w:t>
        </w:r>
      </w:hyperlink>
      <w:r w:rsidRPr="00FD7593">
        <w:rPr>
          <w:rFonts w:ascii="Arial Narrow" w:hAnsi="Arial Narrow"/>
          <w:sz w:val="24"/>
          <w:szCs w:val="24"/>
          <w:lang w:val="fr-CA"/>
        </w:rPr>
        <w:t xml:space="preserve"> pour garantir que la liberté d’association et le contrôle de la recherche de profit soient au cœur de la Loi sur le lobbyisme.</w:t>
      </w:r>
    </w:p>
    <w:p w14:paraId="00000026" w14:textId="77777777" w:rsidR="00C633FE" w:rsidRPr="00FD7593" w:rsidRDefault="00C633FE">
      <w:pPr>
        <w:rPr>
          <w:rFonts w:ascii="Arial Narrow" w:hAnsi="Arial Narrow"/>
          <w:sz w:val="24"/>
          <w:szCs w:val="24"/>
          <w:lang w:val="fr-CA"/>
        </w:rPr>
      </w:pPr>
    </w:p>
    <w:p w14:paraId="00000027" w14:textId="2A54DD3F" w:rsidR="00C633FE" w:rsidRPr="00FD7593" w:rsidRDefault="00622F17">
      <w:pPr>
        <w:rPr>
          <w:rFonts w:ascii="Arial Narrow" w:hAnsi="Arial Narrow"/>
          <w:sz w:val="24"/>
          <w:szCs w:val="24"/>
          <w:lang w:val="fr-CA"/>
        </w:rPr>
      </w:pPr>
      <w:r w:rsidRPr="00FD7593">
        <w:rPr>
          <w:rFonts w:ascii="Arial Narrow" w:hAnsi="Arial Narrow"/>
          <w:sz w:val="24"/>
          <w:szCs w:val="24"/>
          <w:lang w:val="fr-CA"/>
        </w:rPr>
        <w:t xml:space="preserve">Dans </w:t>
      </w:r>
      <w:hyperlink r:id="rId10">
        <w:r w:rsidRPr="00FD7593">
          <w:rPr>
            <w:rFonts w:ascii="Arial Narrow" w:hAnsi="Arial Narrow"/>
            <w:i/>
            <w:iCs/>
            <w:color w:val="1155CC"/>
            <w:sz w:val="24"/>
            <w:szCs w:val="24"/>
            <w:u w:val="single"/>
            <w:lang w:val="fr-CA"/>
          </w:rPr>
          <w:t>Le devoir d’agir pour la transparence et l’intégrité</w:t>
        </w:r>
      </w:hyperlink>
      <w:r w:rsidRPr="00FD7593">
        <w:rPr>
          <w:rFonts w:ascii="Arial Narrow" w:hAnsi="Arial Narrow"/>
          <w:sz w:val="24"/>
          <w:szCs w:val="24"/>
          <w:lang w:val="fr-CA"/>
        </w:rPr>
        <w:t xml:space="preserve">, le Commissaire propose carrément de remplacer l’actuelle Loi sur la transparence et l’éthique en matière de lobbyisme (LTEM) par une suggestion de son cru. Si les idées du Commissaire ne sont pas nouvelles, les diffuser sous la forme d’un projet de loi à l’intention du prochain gouvernement du Québec est pour le moins inusité. </w:t>
      </w:r>
      <w:proofErr w:type="gramStart"/>
      <w:r w:rsidRPr="00FD7593">
        <w:rPr>
          <w:rFonts w:ascii="Arial Narrow" w:hAnsi="Arial Narrow"/>
          <w:sz w:val="24"/>
          <w:szCs w:val="24"/>
          <w:lang w:val="fr-CA"/>
        </w:rPr>
        <w:t>«Non</w:t>
      </w:r>
      <w:proofErr w:type="gramEnd"/>
      <w:r w:rsidRPr="00FD7593">
        <w:rPr>
          <w:rFonts w:ascii="Arial Narrow" w:hAnsi="Arial Narrow"/>
          <w:sz w:val="24"/>
          <w:szCs w:val="24"/>
          <w:lang w:val="fr-CA"/>
        </w:rPr>
        <w:t xml:space="preserve"> seulement c’est le rôle des membres de l’Assemblée nationale de déposer un projet de loi, mais en proposer un alors qu’il ne reste que quelques jours de travaux parlementaires </w:t>
      </w:r>
      <w:r w:rsidRPr="00FD7593">
        <w:rPr>
          <w:rFonts w:ascii="Arial Narrow" w:hAnsi="Arial Narrow"/>
          <w:sz w:val="24"/>
          <w:szCs w:val="24"/>
          <w:lang w:val="fr-CA"/>
        </w:rPr>
        <w:t>d’ici aux prochaines élections générales brouille les cartes, sans qu’il soit possible de faire un véritable débat public sur son contenu. De plus, le commissaire se place en situation d’apparence de conflit d'intérêt</w:t>
      </w:r>
      <w:r w:rsidR="006F45C8" w:rsidRPr="00FD7593">
        <w:rPr>
          <w:rFonts w:ascii="Arial Narrow" w:hAnsi="Arial Narrow"/>
          <w:sz w:val="24"/>
          <w:szCs w:val="24"/>
          <w:lang w:val="fr-CA"/>
        </w:rPr>
        <w:t>s</w:t>
      </w:r>
      <w:r w:rsidRPr="00FD7593">
        <w:rPr>
          <w:rFonts w:ascii="Arial Narrow" w:hAnsi="Arial Narrow"/>
          <w:sz w:val="24"/>
          <w:szCs w:val="24"/>
          <w:lang w:val="fr-CA"/>
        </w:rPr>
        <w:t xml:space="preserve">, puisqu’il propose des modifications à la loi qui définit et encadre sa propre fonction, allant même jusqu’à se donner davantage de </w:t>
      </w:r>
      <w:proofErr w:type="gramStart"/>
      <w:r w:rsidRPr="00FD7593">
        <w:rPr>
          <w:rFonts w:ascii="Arial Narrow" w:hAnsi="Arial Narrow"/>
          <w:sz w:val="24"/>
          <w:szCs w:val="24"/>
          <w:lang w:val="fr-CA"/>
        </w:rPr>
        <w:t>pouvoir»</w:t>
      </w:r>
      <w:proofErr w:type="gramEnd"/>
      <w:r w:rsidR="009B380B" w:rsidRPr="00FD7593">
        <w:rPr>
          <w:rFonts w:ascii="Arial Narrow" w:hAnsi="Arial Narrow"/>
          <w:sz w:val="24"/>
          <w:szCs w:val="24"/>
          <w:lang w:val="fr-CA"/>
        </w:rPr>
        <w:t>,</w:t>
      </w:r>
      <w:r w:rsidRPr="00FD7593">
        <w:rPr>
          <w:rFonts w:ascii="Arial Narrow" w:hAnsi="Arial Narrow"/>
          <w:sz w:val="24"/>
          <w:szCs w:val="24"/>
          <w:lang w:val="fr-CA"/>
        </w:rPr>
        <w:t xml:space="preserve"> souligne Claude Vaillancourt, président d’Attac Québec.</w:t>
      </w:r>
    </w:p>
    <w:p w14:paraId="00000028" w14:textId="77777777" w:rsidR="00C633FE" w:rsidRPr="00FD7593" w:rsidRDefault="00622F17">
      <w:pPr>
        <w:rPr>
          <w:rFonts w:ascii="Arial Narrow" w:hAnsi="Arial Narrow"/>
          <w:sz w:val="24"/>
          <w:szCs w:val="24"/>
          <w:lang w:val="fr-CA"/>
        </w:rPr>
      </w:pPr>
      <w:r w:rsidRPr="00FD7593">
        <w:rPr>
          <w:rFonts w:ascii="Arial Narrow" w:hAnsi="Arial Narrow"/>
          <w:sz w:val="24"/>
          <w:szCs w:val="24"/>
          <w:lang w:val="fr-CA"/>
        </w:rPr>
        <w:t xml:space="preserve"> </w:t>
      </w:r>
    </w:p>
    <w:p w14:paraId="00000029" w14:textId="77777777" w:rsidR="00C633FE" w:rsidRPr="00FD7593" w:rsidRDefault="00622F17">
      <w:pPr>
        <w:rPr>
          <w:rFonts w:ascii="Arial Narrow" w:hAnsi="Arial Narrow"/>
          <w:sz w:val="24"/>
          <w:szCs w:val="24"/>
          <w:lang w:val="fr-CA"/>
        </w:rPr>
      </w:pPr>
      <w:r w:rsidRPr="00FD7593">
        <w:rPr>
          <w:rFonts w:ascii="Arial Narrow" w:hAnsi="Arial Narrow"/>
          <w:sz w:val="24"/>
          <w:szCs w:val="24"/>
          <w:lang w:val="fr-CA"/>
        </w:rPr>
        <w:t xml:space="preserve">Le rapport est remarquable par sa langue de bois et son refus de nommer clairement les choses. Les propositions mises de l’avant par le commissaire incluent des changements majeurs aux définitions applicables dans le cas de la LTEML, qui auraient d’importantes conséquences. </w:t>
      </w:r>
      <w:proofErr w:type="gramStart"/>
      <w:r w:rsidRPr="00FD7593">
        <w:rPr>
          <w:rFonts w:ascii="Arial Narrow" w:hAnsi="Arial Narrow"/>
          <w:sz w:val="24"/>
          <w:szCs w:val="24"/>
          <w:lang w:val="fr-CA"/>
        </w:rPr>
        <w:t>«Dans</w:t>
      </w:r>
      <w:proofErr w:type="gramEnd"/>
      <w:r w:rsidRPr="00FD7593">
        <w:rPr>
          <w:rFonts w:ascii="Arial Narrow" w:hAnsi="Arial Narrow"/>
          <w:sz w:val="24"/>
          <w:szCs w:val="24"/>
          <w:lang w:val="fr-CA"/>
        </w:rPr>
        <w:t xml:space="preserve"> son projet de loi, les mots</w:t>
      </w:r>
      <w:proofErr w:type="gramStart"/>
      <w:r w:rsidRPr="00FD7593">
        <w:rPr>
          <w:rFonts w:ascii="Arial Narrow" w:hAnsi="Arial Narrow"/>
          <w:sz w:val="24"/>
          <w:szCs w:val="24"/>
          <w:lang w:val="fr-CA"/>
        </w:rPr>
        <w:t xml:space="preserve"> «lobbyisme</w:t>
      </w:r>
      <w:proofErr w:type="gramEnd"/>
      <w:r w:rsidRPr="00FD7593">
        <w:rPr>
          <w:rFonts w:ascii="Arial Narrow" w:hAnsi="Arial Narrow"/>
          <w:sz w:val="24"/>
          <w:szCs w:val="24"/>
          <w:lang w:val="fr-CA"/>
        </w:rPr>
        <w:t>» et</w:t>
      </w:r>
      <w:proofErr w:type="gramStart"/>
      <w:r w:rsidRPr="00FD7593">
        <w:rPr>
          <w:rFonts w:ascii="Arial Narrow" w:hAnsi="Arial Narrow"/>
          <w:sz w:val="24"/>
          <w:szCs w:val="24"/>
          <w:lang w:val="fr-CA"/>
        </w:rPr>
        <w:t xml:space="preserve"> «lobbyiste</w:t>
      </w:r>
      <w:proofErr w:type="gramEnd"/>
      <w:r w:rsidRPr="00FD7593">
        <w:rPr>
          <w:rFonts w:ascii="Arial Narrow" w:hAnsi="Arial Narrow"/>
          <w:sz w:val="24"/>
          <w:szCs w:val="24"/>
          <w:lang w:val="fr-CA"/>
        </w:rPr>
        <w:t>» sont remplacés par</w:t>
      </w:r>
      <w:proofErr w:type="gramStart"/>
      <w:r w:rsidRPr="00FD7593">
        <w:rPr>
          <w:rFonts w:ascii="Arial Narrow" w:hAnsi="Arial Narrow"/>
          <w:sz w:val="24"/>
          <w:szCs w:val="24"/>
          <w:lang w:val="fr-CA"/>
        </w:rPr>
        <w:t xml:space="preserve"> «représentation</w:t>
      </w:r>
      <w:proofErr w:type="gramEnd"/>
      <w:r w:rsidRPr="00FD7593">
        <w:rPr>
          <w:rFonts w:ascii="Arial Narrow" w:hAnsi="Arial Narrow"/>
          <w:sz w:val="24"/>
          <w:szCs w:val="24"/>
          <w:lang w:val="fr-CA"/>
        </w:rPr>
        <w:t xml:space="preserve"> </w:t>
      </w:r>
      <w:proofErr w:type="gramStart"/>
      <w:r w:rsidRPr="00FD7593">
        <w:rPr>
          <w:rFonts w:ascii="Arial Narrow" w:hAnsi="Arial Narrow"/>
          <w:sz w:val="24"/>
          <w:szCs w:val="24"/>
          <w:lang w:val="fr-CA"/>
        </w:rPr>
        <w:t>d’intérêts»</w:t>
      </w:r>
      <w:proofErr w:type="gramEnd"/>
      <w:r w:rsidRPr="00FD7593">
        <w:rPr>
          <w:rFonts w:ascii="Arial Narrow" w:hAnsi="Arial Narrow"/>
          <w:sz w:val="24"/>
          <w:szCs w:val="24"/>
          <w:lang w:val="fr-CA"/>
        </w:rPr>
        <w:t>,</w:t>
      </w:r>
      <w:proofErr w:type="gramStart"/>
      <w:r w:rsidRPr="00FD7593">
        <w:rPr>
          <w:rFonts w:ascii="Arial Narrow" w:hAnsi="Arial Narrow"/>
          <w:sz w:val="24"/>
          <w:szCs w:val="24"/>
          <w:lang w:val="fr-CA"/>
        </w:rPr>
        <w:t xml:space="preserve"> «titulaires</w:t>
      </w:r>
      <w:proofErr w:type="gramEnd"/>
      <w:r w:rsidRPr="00FD7593">
        <w:rPr>
          <w:rFonts w:ascii="Arial Narrow" w:hAnsi="Arial Narrow"/>
          <w:sz w:val="24"/>
          <w:szCs w:val="24"/>
          <w:lang w:val="fr-CA"/>
        </w:rPr>
        <w:t xml:space="preserve"> de charges </w:t>
      </w:r>
      <w:proofErr w:type="gramStart"/>
      <w:r w:rsidRPr="00FD7593">
        <w:rPr>
          <w:rFonts w:ascii="Arial Narrow" w:hAnsi="Arial Narrow"/>
          <w:sz w:val="24"/>
          <w:szCs w:val="24"/>
          <w:lang w:val="fr-CA"/>
        </w:rPr>
        <w:t>publiques»</w:t>
      </w:r>
      <w:proofErr w:type="gramEnd"/>
      <w:r w:rsidRPr="00FD7593">
        <w:rPr>
          <w:rFonts w:ascii="Arial Narrow" w:hAnsi="Arial Narrow"/>
          <w:sz w:val="24"/>
          <w:szCs w:val="24"/>
          <w:lang w:val="fr-CA"/>
        </w:rPr>
        <w:t xml:space="preserve"> par</w:t>
      </w:r>
      <w:proofErr w:type="gramStart"/>
      <w:r w:rsidRPr="00FD7593">
        <w:rPr>
          <w:rFonts w:ascii="Arial Narrow" w:hAnsi="Arial Narrow"/>
          <w:sz w:val="24"/>
          <w:szCs w:val="24"/>
          <w:lang w:val="fr-CA"/>
        </w:rPr>
        <w:t xml:space="preserve"> «agents</w:t>
      </w:r>
      <w:proofErr w:type="gramEnd"/>
      <w:r w:rsidRPr="00FD7593">
        <w:rPr>
          <w:rFonts w:ascii="Arial Narrow" w:hAnsi="Arial Narrow"/>
          <w:sz w:val="24"/>
          <w:szCs w:val="24"/>
          <w:lang w:val="fr-CA"/>
        </w:rPr>
        <w:t xml:space="preserve"> </w:t>
      </w:r>
      <w:proofErr w:type="gramStart"/>
      <w:r w:rsidRPr="00FD7593">
        <w:rPr>
          <w:rFonts w:ascii="Arial Narrow" w:hAnsi="Arial Narrow"/>
          <w:sz w:val="24"/>
          <w:szCs w:val="24"/>
          <w:lang w:val="fr-CA"/>
        </w:rPr>
        <w:t>publics»</w:t>
      </w:r>
      <w:proofErr w:type="gramEnd"/>
      <w:r w:rsidRPr="00FD7593">
        <w:rPr>
          <w:rFonts w:ascii="Arial Narrow" w:hAnsi="Arial Narrow"/>
          <w:sz w:val="24"/>
          <w:szCs w:val="24"/>
          <w:lang w:val="fr-CA"/>
        </w:rPr>
        <w:t xml:space="preserve"> et</w:t>
      </w:r>
      <w:proofErr w:type="gramStart"/>
      <w:r w:rsidRPr="00FD7593">
        <w:rPr>
          <w:rFonts w:ascii="Arial Narrow" w:hAnsi="Arial Narrow"/>
          <w:sz w:val="24"/>
          <w:szCs w:val="24"/>
          <w:lang w:val="fr-CA"/>
        </w:rPr>
        <w:t xml:space="preserve"> «entreprise</w:t>
      </w:r>
      <w:proofErr w:type="gramEnd"/>
      <w:r w:rsidRPr="00FD7593">
        <w:rPr>
          <w:rFonts w:ascii="Arial Narrow" w:hAnsi="Arial Narrow"/>
          <w:sz w:val="24"/>
          <w:szCs w:val="24"/>
          <w:lang w:val="fr-CA"/>
        </w:rPr>
        <w:t xml:space="preserve"> et </w:t>
      </w:r>
      <w:proofErr w:type="gramStart"/>
      <w:r w:rsidRPr="00FD7593">
        <w:rPr>
          <w:rFonts w:ascii="Arial Narrow" w:hAnsi="Arial Narrow"/>
          <w:sz w:val="24"/>
          <w:szCs w:val="24"/>
          <w:lang w:val="fr-CA"/>
        </w:rPr>
        <w:t>organisation»</w:t>
      </w:r>
      <w:proofErr w:type="gramEnd"/>
      <w:r w:rsidRPr="00FD7593">
        <w:rPr>
          <w:rFonts w:ascii="Arial Narrow" w:hAnsi="Arial Narrow"/>
          <w:sz w:val="24"/>
          <w:szCs w:val="24"/>
          <w:lang w:val="fr-CA"/>
        </w:rPr>
        <w:t xml:space="preserve"> par</w:t>
      </w:r>
      <w:proofErr w:type="gramStart"/>
      <w:r w:rsidRPr="00FD7593">
        <w:rPr>
          <w:rFonts w:ascii="Arial Narrow" w:hAnsi="Arial Narrow"/>
          <w:sz w:val="24"/>
          <w:szCs w:val="24"/>
          <w:lang w:val="fr-CA"/>
        </w:rPr>
        <w:t xml:space="preserve"> «entité</w:t>
      </w:r>
      <w:proofErr w:type="gramEnd"/>
      <w:r w:rsidRPr="00FD7593">
        <w:rPr>
          <w:rFonts w:ascii="Arial Narrow" w:hAnsi="Arial Narrow"/>
          <w:sz w:val="24"/>
          <w:szCs w:val="24"/>
          <w:lang w:val="fr-CA"/>
        </w:rPr>
        <w:t xml:space="preserve">». Cela ferait de plus disparaître les différentes catégories de lobbyistes. Même le nom actuel de la </w:t>
      </w:r>
      <w:r w:rsidRPr="00FD7593">
        <w:rPr>
          <w:rFonts w:ascii="Arial Narrow" w:hAnsi="Arial Narrow"/>
          <w:i/>
          <w:iCs/>
          <w:sz w:val="24"/>
          <w:szCs w:val="24"/>
          <w:lang w:val="fr-CA"/>
        </w:rPr>
        <w:t>Loi sur la transparence et l’éthique en matière de lobbyisme</w:t>
      </w:r>
      <w:r w:rsidRPr="00FD7593">
        <w:rPr>
          <w:rFonts w:ascii="Arial Narrow" w:hAnsi="Arial Narrow"/>
          <w:sz w:val="24"/>
          <w:szCs w:val="24"/>
          <w:lang w:val="fr-CA"/>
        </w:rPr>
        <w:t xml:space="preserve"> y passerait pour devenir la </w:t>
      </w:r>
      <w:r w:rsidRPr="00FD7593">
        <w:rPr>
          <w:rFonts w:ascii="Arial Narrow" w:hAnsi="Arial Narrow"/>
          <w:i/>
          <w:iCs/>
          <w:sz w:val="24"/>
          <w:szCs w:val="24"/>
          <w:lang w:val="fr-CA"/>
        </w:rPr>
        <w:t>Loi sur la représentation d’intérêts</w:t>
      </w:r>
      <w:r w:rsidRPr="00FD7593">
        <w:rPr>
          <w:rFonts w:ascii="Arial Narrow" w:hAnsi="Arial Narrow"/>
          <w:sz w:val="24"/>
          <w:szCs w:val="24"/>
          <w:lang w:val="fr-CA"/>
        </w:rPr>
        <w:t xml:space="preserve"> » signale Thibault Rehn, directeur général de Vigilance OGM.</w:t>
      </w:r>
    </w:p>
    <w:p w14:paraId="0000002A" w14:textId="77777777" w:rsidR="00C633FE" w:rsidRPr="00FD7593" w:rsidRDefault="00622F17">
      <w:pPr>
        <w:rPr>
          <w:rFonts w:ascii="Arial Narrow" w:hAnsi="Arial Narrow"/>
          <w:sz w:val="24"/>
          <w:szCs w:val="24"/>
          <w:lang w:val="fr-CA"/>
        </w:rPr>
      </w:pPr>
      <w:r w:rsidRPr="00FD7593">
        <w:rPr>
          <w:rFonts w:ascii="Arial Narrow" w:hAnsi="Arial Narrow"/>
          <w:sz w:val="24"/>
          <w:szCs w:val="24"/>
          <w:lang w:val="fr-CA"/>
        </w:rPr>
        <w:lastRenderedPageBreak/>
        <w:t xml:space="preserve"> </w:t>
      </w:r>
    </w:p>
    <w:p w14:paraId="0000002B" w14:textId="77777777" w:rsidR="00C633FE" w:rsidRPr="00FD7593" w:rsidRDefault="00622F17">
      <w:pPr>
        <w:rPr>
          <w:rFonts w:ascii="Arial Narrow" w:hAnsi="Arial Narrow"/>
          <w:sz w:val="24"/>
          <w:szCs w:val="24"/>
          <w:lang w:val="fr-CA"/>
        </w:rPr>
      </w:pPr>
      <w:r w:rsidRPr="00FD7593">
        <w:rPr>
          <w:rFonts w:ascii="Arial Narrow" w:hAnsi="Arial Narrow"/>
          <w:sz w:val="24"/>
          <w:szCs w:val="24"/>
          <w:lang w:val="fr-CA"/>
        </w:rPr>
        <w:t>Tout est placé sur un même niveau : les intentions poursuivies, les moyens financiers des interlocuteurs, le type d’organisation, le fait qu’il s’agisse d’entreprises privées à but lucratif ou d’organismes sans but lucratif. Les démarches effectuées derrière des portes closes seraient traitées de la même façon que l’appel au grand public, alors que celui-ci est une pratique démocratique de mobilisation très visible. Une multinationale aux moyens considérables et un petit organisme environnemental de quartie</w:t>
      </w:r>
      <w:r w:rsidRPr="00FD7593">
        <w:rPr>
          <w:rFonts w:ascii="Arial Narrow" w:hAnsi="Arial Narrow"/>
          <w:sz w:val="24"/>
          <w:szCs w:val="24"/>
          <w:lang w:val="fr-CA"/>
        </w:rPr>
        <w:t>r deviendraient ainsi de simples « entités », sans égard aux profondes inégalités de financement et d’actions qui les séparent.</w:t>
      </w:r>
    </w:p>
    <w:p w14:paraId="0000002C" w14:textId="77777777" w:rsidR="00C633FE" w:rsidRPr="00FD7593" w:rsidRDefault="00622F17">
      <w:pPr>
        <w:rPr>
          <w:rFonts w:ascii="Arial Narrow" w:hAnsi="Arial Narrow"/>
          <w:sz w:val="24"/>
          <w:szCs w:val="24"/>
          <w:lang w:val="fr-CA"/>
        </w:rPr>
      </w:pPr>
      <w:r w:rsidRPr="00FD7593">
        <w:rPr>
          <w:rFonts w:ascii="Arial Narrow" w:hAnsi="Arial Narrow"/>
          <w:sz w:val="24"/>
          <w:szCs w:val="24"/>
          <w:lang w:val="fr-CA"/>
        </w:rPr>
        <w:t xml:space="preserve"> </w:t>
      </w:r>
    </w:p>
    <w:p w14:paraId="0000002D" w14:textId="16C3730E" w:rsidR="00C633FE" w:rsidRPr="00FD7593" w:rsidRDefault="00622F17">
      <w:pPr>
        <w:rPr>
          <w:rFonts w:ascii="Arial Narrow" w:hAnsi="Arial Narrow"/>
          <w:sz w:val="24"/>
          <w:szCs w:val="24"/>
          <w:lang w:val="fr-CA"/>
        </w:rPr>
      </w:pPr>
      <w:r w:rsidRPr="00FD7593">
        <w:rPr>
          <w:rFonts w:ascii="Arial Narrow" w:hAnsi="Arial Narrow"/>
          <w:sz w:val="24"/>
          <w:szCs w:val="24"/>
          <w:lang w:val="fr-CA"/>
        </w:rPr>
        <w:t xml:space="preserve">Ce rapport correspond en fait à une nouvelle tentative du commissaire — la septième en tout! — d’assujettir les OSBL à la Loi. </w:t>
      </w:r>
      <w:proofErr w:type="gramStart"/>
      <w:r w:rsidRPr="00FD7593">
        <w:rPr>
          <w:rFonts w:ascii="Arial Narrow" w:hAnsi="Arial Narrow"/>
          <w:sz w:val="24"/>
          <w:szCs w:val="24"/>
          <w:lang w:val="fr-CA"/>
        </w:rPr>
        <w:t>«Bien</w:t>
      </w:r>
      <w:proofErr w:type="gramEnd"/>
      <w:r w:rsidRPr="00FD7593">
        <w:rPr>
          <w:rFonts w:ascii="Arial Narrow" w:hAnsi="Arial Narrow"/>
          <w:sz w:val="24"/>
          <w:szCs w:val="24"/>
          <w:lang w:val="fr-CA"/>
        </w:rPr>
        <w:t xml:space="preserve"> que le Commissaire précise que les organismes communautaires ne seraient pas touchés, cela est faux. Cette simili-exclusion ne permettrait de protéger que de rares organisations ne se définissant pas comme autonomes, mais comme des extensions des services publics. En effet, tous les autres OSBL seraient considérés comme des organisations faisant du lobbyisme. Des milliers de groupes, de coalitions et de regroupements seraient assimilés à des lobbyistes, alors qu’ils sont les porte-voix que la populati</w:t>
      </w:r>
      <w:r w:rsidRPr="00FD7593">
        <w:rPr>
          <w:rFonts w:ascii="Arial Narrow" w:hAnsi="Arial Narrow"/>
          <w:sz w:val="24"/>
          <w:szCs w:val="24"/>
          <w:lang w:val="fr-CA"/>
        </w:rPr>
        <w:t>on s’est donné</w:t>
      </w:r>
      <w:r w:rsidR="006F45C8" w:rsidRPr="00FD7593">
        <w:rPr>
          <w:rFonts w:ascii="Arial Narrow" w:hAnsi="Arial Narrow"/>
          <w:sz w:val="24"/>
          <w:szCs w:val="24"/>
          <w:lang w:val="fr-CA"/>
        </w:rPr>
        <w:t>s</w:t>
      </w:r>
      <w:r w:rsidRPr="00FD7593">
        <w:rPr>
          <w:rFonts w:ascii="Arial Narrow" w:hAnsi="Arial Narrow"/>
          <w:sz w:val="24"/>
          <w:szCs w:val="24"/>
          <w:lang w:val="fr-CA"/>
        </w:rPr>
        <w:t xml:space="preserve"> pour représenter ses revendications </w:t>
      </w:r>
      <w:proofErr w:type="gramStart"/>
      <w:r w:rsidRPr="00FD7593">
        <w:rPr>
          <w:rFonts w:ascii="Arial Narrow" w:hAnsi="Arial Narrow"/>
          <w:sz w:val="24"/>
          <w:szCs w:val="24"/>
          <w:lang w:val="fr-CA"/>
        </w:rPr>
        <w:t>sociales»</w:t>
      </w:r>
      <w:proofErr w:type="gramEnd"/>
      <w:r w:rsidRPr="00FD7593">
        <w:rPr>
          <w:rFonts w:ascii="Arial Narrow" w:hAnsi="Arial Narrow"/>
          <w:sz w:val="24"/>
          <w:szCs w:val="24"/>
          <w:lang w:val="fr-CA"/>
        </w:rPr>
        <w:t xml:space="preserve"> s’insurge Mercédez Roberge, pour la Coalition Mon OSBL n’est pas un lobby.</w:t>
      </w:r>
    </w:p>
    <w:p w14:paraId="0000002E" w14:textId="77777777" w:rsidR="00C633FE" w:rsidRPr="00FD7593" w:rsidRDefault="00622F17">
      <w:pPr>
        <w:rPr>
          <w:rFonts w:ascii="Arial Narrow" w:hAnsi="Arial Narrow"/>
          <w:sz w:val="24"/>
          <w:szCs w:val="24"/>
          <w:lang w:val="fr-CA"/>
        </w:rPr>
      </w:pPr>
      <w:r w:rsidRPr="00FD7593">
        <w:rPr>
          <w:rFonts w:ascii="Arial Narrow" w:hAnsi="Arial Narrow"/>
          <w:sz w:val="24"/>
          <w:szCs w:val="24"/>
          <w:lang w:val="fr-CA"/>
        </w:rPr>
        <w:t xml:space="preserve"> </w:t>
      </w:r>
    </w:p>
    <w:p w14:paraId="0000002F" w14:textId="77777777" w:rsidR="00C633FE" w:rsidRPr="00FD7593" w:rsidRDefault="00622F17">
      <w:pPr>
        <w:rPr>
          <w:rFonts w:ascii="Arial Narrow" w:hAnsi="Arial Narrow"/>
          <w:sz w:val="24"/>
          <w:szCs w:val="24"/>
          <w:lang w:val="fr-CA"/>
        </w:rPr>
      </w:pPr>
      <w:r w:rsidRPr="00FD7593">
        <w:rPr>
          <w:rFonts w:ascii="Arial Narrow" w:hAnsi="Arial Narrow"/>
          <w:sz w:val="24"/>
          <w:szCs w:val="24"/>
          <w:lang w:val="fr-CA"/>
        </w:rPr>
        <w:t>Le commissaire cherche visiblement à améliorer la réputation du lobbyisme. On peut se demander ce qui vaut cette faveur à cette profession dont les stigmates ne sont pas le fruit du hasard. Les lobbyistes ont en effet donné depuis longtemps une très mauvaise image d’eux-mêmes en déployant d’énormes moyens pour accroître les bénéfices d’actionnaires, d’entreprises ou de sociétés. Le lobbyisme auprès des gouvernements est au cœur de plusieurs controverses depuis des décennies : la vente de pesticides toxiques</w:t>
      </w:r>
      <w:r w:rsidRPr="00FD7593">
        <w:rPr>
          <w:rFonts w:ascii="Arial Narrow" w:hAnsi="Arial Narrow"/>
          <w:sz w:val="24"/>
          <w:szCs w:val="24"/>
          <w:lang w:val="fr-CA"/>
        </w:rPr>
        <w:t xml:space="preserve"> et de cigarettes, l’exploitation sans limites des hydrocarbures, la déréglementation tous azimuts de l’industrie numérique, pour ne citer que quelques exemples. Il faut aussi rappeler que l’adoption de la LTEML répondait à un scandale lié à cette pratique, alors que la compagnie Oxygène 9 permettait des accès privilégiés au gouvernement.</w:t>
      </w:r>
    </w:p>
    <w:p w14:paraId="00000030" w14:textId="77777777" w:rsidR="00C633FE" w:rsidRPr="00FD7593" w:rsidRDefault="00622F17">
      <w:pPr>
        <w:rPr>
          <w:rFonts w:ascii="Arial Narrow" w:hAnsi="Arial Narrow"/>
          <w:sz w:val="24"/>
          <w:szCs w:val="24"/>
          <w:lang w:val="fr-CA"/>
        </w:rPr>
      </w:pPr>
      <w:r w:rsidRPr="00FD7593">
        <w:rPr>
          <w:rFonts w:ascii="Arial Narrow" w:hAnsi="Arial Narrow"/>
          <w:sz w:val="24"/>
          <w:szCs w:val="24"/>
          <w:lang w:val="fr-CA"/>
        </w:rPr>
        <w:t xml:space="preserve"> </w:t>
      </w:r>
    </w:p>
    <w:p w14:paraId="00000031" w14:textId="77777777" w:rsidR="00C633FE" w:rsidRPr="00FD7593" w:rsidRDefault="00622F17">
      <w:pPr>
        <w:rPr>
          <w:rFonts w:ascii="Arial Narrow" w:hAnsi="Arial Narrow"/>
          <w:sz w:val="24"/>
          <w:szCs w:val="24"/>
          <w:lang w:val="fr-CA"/>
        </w:rPr>
      </w:pPr>
      <w:r w:rsidRPr="00FD7593">
        <w:rPr>
          <w:rFonts w:ascii="Arial Narrow" w:hAnsi="Arial Narrow"/>
          <w:sz w:val="24"/>
          <w:szCs w:val="24"/>
          <w:lang w:val="fr-CA"/>
        </w:rPr>
        <w:t>Même les mesures ayant le potentiel d'améliorer la pratique et la surveillance du lobbyisme sont insuffisantes pour parvenir à la transparence souhaitée par le commissaire. Celui-ci propose, par exemple, d’imposer une période de restriction aux élus et aux hauts fonctionnaires avant qu’ils puissent exercer des activités de lobbyisme, mais la période est bien trop brève pour avoir une réelle incidence sur le phénomène des portes tournantes.</w:t>
      </w:r>
    </w:p>
    <w:p w14:paraId="00000032" w14:textId="77777777" w:rsidR="00C633FE" w:rsidRPr="00FD7593" w:rsidRDefault="00622F17">
      <w:pPr>
        <w:rPr>
          <w:rFonts w:ascii="Arial Narrow" w:hAnsi="Arial Narrow"/>
          <w:sz w:val="24"/>
          <w:szCs w:val="24"/>
          <w:lang w:val="fr-CA"/>
        </w:rPr>
      </w:pPr>
      <w:r w:rsidRPr="00FD7593">
        <w:rPr>
          <w:rFonts w:ascii="Arial Narrow" w:hAnsi="Arial Narrow"/>
          <w:sz w:val="24"/>
          <w:szCs w:val="24"/>
          <w:lang w:val="fr-CA"/>
        </w:rPr>
        <w:t xml:space="preserve"> </w:t>
      </w:r>
    </w:p>
    <w:p w14:paraId="00000033" w14:textId="77777777" w:rsidR="00C633FE" w:rsidRPr="00FD7593" w:rsidRDefault="00622F17">
      <w:pPr>
        <w:rPr>
          <w:rFonts w:ascii="Arial Narrow" w:hAnsi="Arial Narrow"/>
          <w:sz w:val="24"/>
          <w:szCs w:val="24"/>
          <w:lang w:val="fr-CA"/>
        </w:rPr>
      </w:pPr>
      <w:r w:rsidRPr="00FD7593">
        <w:rPr>
          <w:rFonts w:ascii="Arial Narrow" w:hAnsi="Arial Narrow"/>
          <w:sz w:val="24"/>
          <w:szCs w:val="24"/>
          <w:lang w:val="fr-CA"/>
        </w:rPr>
        <w:t>Le rapport du commissaire est surtout un coup de force, un refus du dialogue social et une nouvelle manœuvre pour faire passer ce qui a toujours été rejeté, tant du niveau politique que de la société civile. En proposant de nouveau d'assimiler les OSBL à des lobbyistes et de considérer l’appel au grand public comme du lobbyisme, le commissaire fait fi des consensus exprimés à la suite de chacune de ses tentatives.</w:t>
      </w:r>
    </w:p>
    <w:p w14:paraId="00000034" w14:textId="77777777" w:rsidR="00C633FE" w:rsidRPr="00FD7593" w:rsidRDefault="00622F17">
      <w:pPr>
        <w:rPr>
          <w:rFonts w:ascii="Arial Narrow" w:hAnsi="Arial Narrow"/>
          <w:sz w:val="24"/>
          <w:szCs w:val="24"/>
          <w:lang w:val="fr-CA"/>
        </w:rPr>
      </w:pPr>
      <w:r w:rsidRPr="00FD7593">
        <w:rPr>
          <w:rFonts w:ascii="Arial Narrow" w:hAnsi="Arial Narrow"/>
          <w:sz w:val="24"/>
          <w:szCs w:val="24"/>
          <w:lang w:val="fr-CA"/>
        </w:rPr>
        <w:t xml:space="preserve"> </w:t>
      </w:r>
    </w:p>
    <w:p w14:paraId="00000035" w14:textId="77777777" w:rsidR="00C633FE" w:rsidRPr="00FD7593" w:rsidRDefault="00622F17">
      <w:pPr>
        <w:rPr>
          <w:rFonts w:ascii="Arial Narrow" w:hAnsi="Arial Narrow"/>
          <w:sz w:val="24"/>
          <w:szCs w:val="24"/>
          <w:lang w:val="fr-CA"/>
        </w:rPr>
      </w:pPr>
      <w:r w:rsidRPr="00FD7593">
        <w:rPr>
          <w:rFonts w:ascii="Arial Narrow" w:hAnsi="Arial Narrow"/>
          <w:sz w:val="24"/>
          <w:szCs w:val="24"/>
          <w:lang w:val="fr-CA"/>
        </w:rPr>
        <w:lastRenderedPageBreak/>
        <w:t xml:space="preserve">Une loi aussi importante pour l’avenir de notre démocratie doit faire l’objet d’une véritable consultation publique, notamment auprès des OSBL et des utilisateurs et utilisatrices du registre des lobbyistes. Le prochain gouvernement ne doit pas transformer les propositions du Commissaire dans un projet de loi. Il doit plutôt veiller à ce que toute modification à la </w:t>
      </w:r>
      <w:r w:rsidRPr="00FD7593">
        <w:rPr>
          <w:rFonts w:ascii="Arial Narrow" w:hAnsi="Arial Narrow"/>
          <w:i/>
          <w:iCs/>
          <w:sz w:val="24"/>
          <w:szCs w:val="24"/>
          <w:lang w:val="fr-CA"/>
        </w:rPr>
        <w:t>Loi sur la transparence et l’éthique en matière de lobbyisme</w:t>
      </w:r>
      <w:r w:rsidRPr="00FD7593">
        <w:rPr>
          <w:rFonts w:ascii="Arial Narrow" w:hAnsi="Arial Narrow"/>
          <w:sz w:val="24"/>
          <w:szCs w:val="24"/>
          <w:lang w:val="fr-CA"/>
        </w:rPr>
        <w:t xml:space="preserve"> protège la liberté d’association et contrôle la recherche de profit.</w:t>
      </w:r>
    </w:p>
    <w:p w14:paraId="00000036" w14:textId="77777777" w:rsidR="00C633FE" w:rsidRPr="00FD7593" w:rsidRDefault="00C633FE">
      <w:pPr>
        <w:rPr>
          <w:rFonts w:ascii="Arial Narrow" w:hAnsi="Arial Narrow"/>
          <w:sz w:val="24"/>
          <w:szCs w:val="24"/>
          <w:lang w:val="fr-CA"/>
        </w:rPr>
      </w:pPr>
    </w:p>
    <w:p w14:paraId="00000038" w14:textId="77777777" w:rsidR="00C633FE" w:rsidRPr="00FD7593" w:rsidRDefault="00622F17" w:rsidP="00645DF3">
      <w:pPr>
        <w:spacing w:after="240"/>
        <w:jc w:val="center"/>
        <w:rPr>
          <w:rFonts w:ascii="Arial Narrow" w:hAnsi="Arial Narrow"/>
          <w:sz w:val="24"/>
          <w:szCs w:val="24"/>
        </w:rPr>
      </w:pPr>
      <w:r w:rsidRPr="00FD7593">
        <w:rPr>
          <w:rFonts w:ascii="Arial Narrow" w:hAnsi="Arial Narrow"/>
          <w:sz w:val="24"/>
          <w:szCs w:val="24"/>
        </w:rPr>
        <w:t>– 30 –</w:t>
      </w:r>
      <w:r w:rsidRPr="00FD7593">
        <w:rPr>
          <w:rFonts w:ascii="Arial Narrow" w:hAnsi="Arial Narrow"/>
          <w:sz w:val="24"/>
          <w:szCs w:val="24"/>
        </w:rPr>
        <w:br/>
      </w:r>
    </w:p>
    <w:p w14:paraId="00000039" w14:textId="77777777" w:rsidR="00C633FE" w:rsidRPr="00FD7593" w:rsidRDefault="00622F17">
      <w:pPr>
        <w:spacing w:before="240" w:after="240"/>
        <w:rPr>
          <w:rFonts w:ascii="Arial Narrow" w:hAnsi="Arial Narrow"/>
          <w:b/>
          <w:bCs/>
          <w:sz w:val="24"/>
          <w:szCs w:val="24"/>
        </w:rPr>
      </w:pPr>
      <w:r w:rsidRPr="00FD7593">
        <w:rPr>
          <w:rFonts w:ascii="Arial Narrow" w:hAnsi="Arial Narrow"/>
          <w:b/>
          <w:bCs/>
          <w:sz w:val="24"/>
          <w:szCs w:val="24"/>
        </w:rPr>
        <w:t xml:space="preserve">Pour </w:t>
      </w:r>
      <w:proofErr w:type="spellStart"/>
      <w:proofErr w:type="gramStart"/>
      <w:r w:rsidRPr="00FD7593">
        <w:rPr>
          <w:rFonts w:ascii="Arial Narrow" w:hAnsi="Arial Narrow"/>
          <w:b/>
          <w:bCs/>
          <w:sz w:val="24"/>
          <w:szCs w:val="24"/>
        </w:rPr>
        <w:t>informations</w:t>
      </w:r>
      <w:proofErr w:type="spellEnd"/>
      <w:r w:rsidRPr="00FD7593">
        <w:rPr>
          <w:rFonts w:ascii="Arial Narrow" w:hAnsi="Arial Narrow"/>
          <w:b/>
          <w:bCs/>
          <w:sz w:val="24"/>
          <w:szCs w:val="24"/>
        </w:rPr>
        <w:t xml:space="preserve"> :</w:t>
      </w:r>
      <w:proofErr w:type="gramEnd"/>
    </w:p>
    <w:p w14:paraId="0000003A" w14:textId="6321A638" w:rsidR="00C633FE" w:rsidRPr="00FD7593" w:rsidRDefault="00622F17">
      <w:pPr>
        <w:numPr>
          <w:ilvl w:val="0"/>
          <w:numId w:val="1"/>
        </w:numPr>
        <w:rPr>
          <w:rFonts w:ascii="Arial Narrow" w:hAnsi="Arial Narrow"/>
          <w:sz w:val="24"/>
          <w:szCs w:val="24"/>
          <w:lang w:val="fr-CA"/>
        </w:rPr>
      </w:pPr>
      <w:r w:rsidRPr="00FD7593">
        <w:rPr>
          <w:rFonts w:ascii="Arial Narrow" w:hAnsi="Arial Narrow"/>
          <w:sz w:val="24"/>
          <w:szCs w:val="24"/>
          <w:lang w:val="fr-CA"/>
        </w:rPr>
        <w:t>Camille Charbonneau, analyste</w:t>
      </w:r>
      <w:r w:rsidR="006F45C8" w:rsidRPr="00FD7593">
        <w:rPr>
          <w:rFonts w:ascii="Arial Narrow" w:hAnsi="Arial Narrow"/>
          <w:sz w:val="24"/>
          <w:szCs w:val="24"/>
          <w:lang w:val="fr-CA"/>
        </w:rPr>
        <w:t>,</w:t>
      </w:r>
      <w:r w:rsidRPr="00FD7593">
        <w:rPr>
          <w:rFonts w:ascii="Arial Narrow" w:hAnsi="Arial Narrow"/>
          <w:sz w:val="24"/>
          <w:szCs w:val="24"/>
          <w:lang w:val="fr-CA"/>
        </w:rPr>
        <w:t xml:space="preserve"> et Claude Vaillancourt, président, Attac Québec, 514-775-0253</w:t>
      </w:r>
    </w:p>
    <w:p w14:paraId="0000003B" w14:textId="77777777" w:rsidR="00C633FE" w:rsidRPr="00FD7593" w:rsidRDefault="00622F17">
      <w:pPr>
        <w:numPr>
          <w:ilvl w:val="0"/>
          <w:numId w:val="1"/>
        </w:numPr>
        <w:rPr>
          <w:rFonts w:ascii="Arial Narrow" w:hAnsi="Arial Narrow"/>
          <w:sz w:val="24"/>
          <w:szCs w:val="24"/>
          <w:lang w:val="fr-CA"/>
        </w:rPr>
      </w:pPr>
      <w:r w:rsidRPr="00FD7593">
        <w:rPr>
          <w:rFonts w:ascii="Arial Narrow" w:hAnsi="Arial Narrow"/>
          <w:sz w:val="24"/>
          <w:szCs w:val="24"/>
          <w:lang w:val="fr-CA"/>
        </w:rPr>
        <w:t>Thibault Rehn, directeur général de Vigilance OGM, 514-582-1674</w:t>
      </w:r>
    </w:p>
    <w:p w14:paraId="0000003C" w14:textId="77777777" w:rsidR="00C633FE" w:rsidRPr="00FD7593" w:rsidRDefault="00622F17">
      <w:pPr>
        <w:numPr>
          <w:ilvl w:val="0"/>
          <w:numId w:val="1"/>
        </w:numPr>
        <w:spacing w:after="240"/>
        <w:rPr>
          <w:rFonts w:ascii="Arial Narrow" w:hAnsi="Arial Narrow"/>
          <w:sz w:val="24"/>
          <w:szCs w:val="24"/>
          <w:lang w:val="fr-CA"/>
        </w:rPr>
      </w:pPr>
      <w:r w:rsidRPr="00FD7593">
        <w:rPr>
          <w:rFonts w:ascii="Arial Narrow" w:hAnsi="Arial Narrow"/>
          <w:sz w:val="24"/>
          <w:szCs w:val="24"/>
          <w:lang w:val="fr-CA"/>
        </w:rPr>
        <w:t>Mercédez Roberge, coordonnatrice de la Table des regroupements provinciaux et organismes communautaires et bénévoles, pour la Coalition Mon OSBL n’est pas un lobby, 514-690-7826</w:t>
      </w:r>
    </w:p>
    <w:p w14:paraId="0000003D" w14:textId="77777777" w:rsidR="00C633FE" w:rsidRPr="00FD7593" w:rsidRDefault="00622F17">
      <w:pPr>
        <w:spacing w:before="240" w:after="240"/>
        <w:rPr>
          <w:rFonts w:ascii="Arial Narrow" w:hAnsi="Arial Narrow"/>
          <w:b/>
          <w:bCs/>
          <w:sz w:val="24"/>
          <w:szCs w:val="24"/>
          <w:lang w:val="fr-CA"/>
        </w:rPr>
      </w:pPr>
      <w:r w:rsidRPr="00FD7593">
        <w:rPr>
          <w:rFonts w:ascii="Arial Narrow" w:hAnsi="Arial Narrow"/>
          <w:b/>
          <w:bCs/>
          <w:sz w:val="24"/>
          <w:szCs w:val="24"/>
          <w:lang w:val="fr-CA"/>
        </w:rPr>
        <w:t>Sources :</w:t>
      </w:r>
    </w:p>
    <w:p w14:paraId="0000003E" w14:textId="77777777" w:rsidR="00C633FE" w:rsidRPr="00FD7593" w:rsidRDefault="00622F17">
      <w:pPr>
        <w:spacing w:before="240" w:after="240"/>
        <w:rPr>
          <w:rFonts w:ascii="Arial Narrow" w:hAnsi="Arial Narrow"/>
          <w:i/>
          <w:iCs/>
          <w:sz w:val="24"/>
          <w:szCs w:val="24"/>
          <w:lang w:val="fr-CA"/>
        </w:rPr>
      </w:pPr>
      <w:hyperlink r:id="rId11">
        <w:r w:rsidRPr="00FD7593">
          <w:rPr>
            <w:rFonts w:ascii="Arial Narrow" w:hAnsi="Arial Narrow"/>
            <w:b/>
            <w:bCs/>
            <w:i/>
            <w:iCs/>
            <w:color w:val="1155CC"/>
            <w:sz w:val="24"/>
            <w:szCs w:val="24"/>
            <w:u w:val="single"/>
            <w:lang w:val="fr-CA"/>
          </w:rPr>
          <w:t>Attac Québec (Action citoyenne pour la justice fiscale, sociale et écologique)</w:t>
        </w:r>
      </w:hyperlink>
      <w:r w:rsidRPr="00FD7593">
        <w:rPr>
          <w:rFonts w:ascii="Arial Narrow" w:hAnsi="Arial Narrow"/>
          <w:sz w:val="24"/>
          <w:szCs w:val="24"/>
          <w:lang w:val="fr-CA"/>
        </w:rPr>
        <w:t xml:space="preserve"> Attac Québec œuvre pour la justice fiscale, sociale et écologique. Notre association citoyenne, appuyée par une trentaine d’organismes membres, se mobilise sur les enjeux majeurs soulevés par la mondialisation, de la croissance des inégalités aux conséquences environnementales de notre modèle économique.</w:t>
      </w:r>
    </w:p>
    <w:p w14:paraId="0000003F" w14:textId="77777777" w:rsidR="00C633FE" w:rsidRPr="00FD7593" w:rsidRDefault="00622F17">
      <w:pPr>
        <w:spacing w:before="240" w:after="240"/>
        <w:rPr>
          <w:rFonts w:ascii="Arial Narrow" w:hAnsi="Arial Narrow"/>
          <w:sz w:val="24"/>
          <w:szCs w:val="24"/>
          <w:lang w:val="fr-CA"/>
        </w:rPr>
      </w:pPr>
      <w:hyperlink r:id="rId12">
        <w:r w:rsidRPr="00FD7593">
          <w:rPr>
            <w:rFonts w:ascii="Arial Narrow" w:hAnsi="Arial Narrow"/>
            <w:b/>
            <w:bCs/>
            <w:i/>
            <w:iCs/>
            <w:color w:val="1155CC"/>
            <w:sz w:val="24"/>
            <w:szCs w:val="24"/>
            <w:u w:val="single"/>
            <w:lang w:val="fr-CA"/>
          </w:rPr>
          <w:t>Mon OSBL n’est pas un lobby</w:t>
        </w:r>
      </w:hyperlink>
      <w:r w:rsidRPr="00FD7593">
        <w:rPr>
          <w:rFonts w:ascii="Arial Narrow" w:hAnsi="Arial Narrow"/>
          <w:sz w:val="24"/>
          <w:szCs w:val="24"/>
          <w:lang w:val="fr-CA"/>
        </w:rPr>
        <w:t xml:space="preserve"> coalise environ 150 organisations opposées à l’assujettissement de tous les OSBL à la </w:t>
      </w:r>
      <w:r w:rsidRPr="00FD7593">
        <w:rPr>
          <w:rFonts w:ascii="Arial Narrow" w:hAnsi="Arial Narrow"/>
          <w:i/>
          <w:iCs/>
          <w:sz w:val="24"/>
          <w:szCs w:val="24"/>
          <w:lang w:val="fr-CA"/>
        </w:rPr>
        <w:t xml:space="preserve">Loi sur la transparence et l’éthique en matière de lobbyisme. </w:t>
      </w:r>
      <w:r w:rsidRPr="00FD7593">
        <w:rPr>
          <w:rFonts w:ascii="Arial Narrow" w:hAnsi="Arial Narrow"/>
          <w:sz w:val="24"/>
          <w:szCs w:val="24"/>
          <w:lang w:val="fr-CA"/>
        </w:rPr>
        <w:t>Formée en 2014 à l’initiative de la</w:t>
      </w:r>
      <w:hyperlink r:id="rId13">
        <w:r w:rsidRPr="00FD7593">
          <w:rPr>
            <w:rFonts w:ascii="Arial Narrow" w:hAnsi="Arial Narrow"/>
            <w:sz w:val="24"/>
            <w:szCs w:val="24"/>
            <w:lang w:val="fr-CA"/>
          </w:rPr>
          <w:t xml:space="preserve"> </w:t>
        </w:r>
      </w:hyperlink>
      <w:hyperlink r:id="rId14">
        <w:r w:rsidRPr="00FD7593">
          <w:rPr>
            <w:rFonts w:ascii="Arial Narrow" w:hAnsi="Arial Narrow"/>
            <w:color w:val="1155CC"/>
            <w:sz w:val="24"/>
            <w:szCs w:val="24"/>
            <w:u w:val="single"/>
            <w:lang w:val="fr-CA"/>
          </w:rPr>
          <w:t>Table des regroupements provinciaux et organismes communautaires et bénévoles</w:t>
        </w:r>
      </w:hyperlink>
      <w:r w:rsidRPr="00FD7593">
        <w:rPr>
          <w:rFonts w:ascii="Arial Narrow" w:hAnsi="Arial Narrow"/>
          <w:sz w:val="24"/>
          <w:szCs w:val="24"/>
          <w:lang w:val="fr-CA"/>
        </w:rPr>
        <w:t>, les actions de la coalition ont notamment permis d’obtenir l’abandon du projet de loi 56 (2018) lequel aurait grandement nuit au droit d’association des OSBL québécois.</w:t>
      </w:r>
    </w:p>
    <w:p w14:paraId="00000040" w14:textId="77777777" w:rsidR="00C633FE" w:rsidRPr="00FD7593" w:rsidRDefault="00622F17">
      <w:pPr>
        <w:spacing w:before="240" w:after="240"/>
        <w:rPr>
          <w:rFonts w:ascii="Arial Narrow" w:hAnsi="Arial Narrow"/>
          <w:sz w:val="24"/>
          <w:szCs w:val="24"/>
          <w:lang w:val="fr-CA"/>
        </w:rPr>
      </w:pPr>
      <w:hyperlink r:id="rId15">
        <w:r w:rsidRPr="00FD7593">
          <w:rPr>
            <w:rFonts w:ascii="Arial Narrow" w:hAnsi="Arial Narrow"/>
            <w:b/>
            <w:bCs/>
            <w:i/>
            <w:iCs/>
            <w:color w:val="1155CC"/>
            <w:sz w:val="24"/>
            <w:szCs w:val="24"/>
            <w:u w:val="single"/>
            <w:lang w:val="fr-CA"/>
          </w:rPr>
          <w:t>Vigilance OGM</w:t>
        </w:r>
      </w:hyperlink>
      <w:r w:rsidRPr="00FD7593">
        <w:rPr>
          <w:rFonts w:ascii="Arial Narrow" w:hAnsi="Arial Narrow"/>
          <w:sz w:val="24"/>
          <w:szCs w:val="24"/>
          <w:lang w:val="fr-CA"/>
        </w:rPr>
        <w:t xml:space="preserve"> est un organisme à but non lucratif, qui forme un réseau regroupant des groupes et des individus de divers horizons: agriculteurs-</w:t>
      </w:r>
      <w:proofErr w:type="spellStart"/>
      <w:r w:rsidRPr="00FD7593">
        <w:rPr>
          <w:rFonts w:ascii="Arial Narrow" w:hAnsi="Arial Narrow"/>
          <w:sz w:val="24"/>
          <w:szCs w:val="24"/>
          <w:lang w:val="fr-CA"/>
        </w:rPr>
        <w:t>trices</w:t>
      </w:r>
      <w:proofErr w:type="spellEnd"/>
      <w:r w:rsidRPr="00FD7593">
        <w:rPr>
          <w:rFonts w:ascii="Arial Narrow" w:hAnsi="Arial Narrow"/>
          <w:sz w:val="24"/>
          <w:szCs w:val="24"/>
          <w:lang w:val="fr-CA"/>
        </w:rPr>
        <w:t>, environnementalistes, consommateurs-</w:t>
      </w:r>
      <w:proofErr w:type="spellStart"/>
      <w:r w:rsidRPr="00FD7593">
        <w:rPr>
          <w:rFonts w:ascii="Arial Narrow" w:hAnsi="Arial Narrow"/>
          <w:sz w:val="24"/>
          <w:szCs w:val="24"/>
          <w:lang w:val="fr-CA"/>
        </w:rPr>
        <w:t>trices</w:t>
      </w:r>
      <w:proofErr w:type="spellEnd"/>
      <w:r w:rsidRPr="00FD7593">
        <w:rPr>
          <w:rFonts w:ascii="Arial Narrow" w:hAnsi="Arial Narrow"/>
          <w:sz w:val="24"/>
          <w:szCs w:val="24"/>
          <w:lang w:val="fr-CA"/>
        </w:rPr>
        <w:t>, citoyen-ne-s, tous-tes préoccupé-e-s par ce que l’on met quotidiennement dans notre assiette et par l’impact des modes de production des cultures génétiquement modifiées et des pesticides sur la santé humaine et environnementale.</w:t>
      </w:r>
    </w:p>
    <w:p w14:paraId="00000041" w14:textId="77777777" w:rsidR="00C633FE" w:rsidRPr="00FD7593" w:rsidRDefault="00C633FE">
      <w:pPr>
        <w:rPr>
          <w:rFonts w:ascii="Arial Narrow" w:hAnsi="Arial Narrow"/>
          <w:sz w:val="24"/>
          <w:szCs w:val="24"/>
          <w:lang w:val="fr-CA"/>
        </w:rPr>
      </w:pPr>
    </w:p>
    <w:sectPr w:rsidR="00C633FE" w:rsidRPr="00FD7593">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35C7B" w14:textId="77777777" w:rsidR="00622F17" w:rsidRDefault="00622F17">
      <w:pPr>
        <w:spacing w:line="240" w:lineRule="auto"/>
      </w:pPr>
      <w:r>
        <w:separator/>
      </w:r>
    </w:p>
  </w:endnote>
  <w:endnote w:type="continuationSeparator" w:id="0">
    <w:p w14:paraId="1DF5FEC5" w14:textId="77777777" w:rsidR="00622F17" w:rsidRDefault="00622F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A2515A29-56CF-4B95-8EA3-023A91B1446D}"/>
    <w:embedBold r:id="rId2" w:fontKey="{00A12EBE-E4E5-4C06-A1BC-7DE3770C6ECE}"/>
    <w:embedItalic r:id="rId3" w:fontKey="{85E3B33B-055E-4DB6-861B-2577EEB6802E}"/>
    <w:embedBoldItalic r:id="rId4" w:fontKey="{655AD257-CEC2-4A37-9D46-C07DABF44D14}"/>
  </w:font>
  <w:font w:name="Calibri">
    <w:panose1 w:val="020F0502020204030204"/>
    <w:charset w:val="00"/>
    <w:family w:val="swiss"/>
    <w:pitch w:val="variable"/>
    <w:sig w:usb0="E4002EFF" w:usb1="C200ACFF" w:usb2="00000009" w:usb3="00000000" w:csb0="000001FF" w:csb1="00000000"/>
    <w:embedRegular r:id="rId5" w:fontKey="{E4BCB34A-9044-4E4B-A704-BE1D3F24FAF0}"/>
  </w:font>
  <w:font w:name="Cambria">
    <w:panose1 w:val="02040503050406030204"/>
    <w:charset w:val="00"/>
    <w:family w:val="roman"/>
    <w:pitch w:val="variable"/>
    <w:sig w:usb0="E00006FF" w:usb1="420024FF" w:usb2="02000000" w:usb3="00000000" w:csb0="0000019F" w:csb1="00000000"/>
    <w:embedRegular r:id="rId6" w:fontKey="{CE5C7519-F5EC-4EC5-9207-1966B63907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1724824"/>
      <w:docPartObj>
        <w:docPartGallery w:val="Page Numbers (Bottom of Page)"/>
        <w:docPartUnique/>
      </w:docPartObj>
    </w:sdtPr>
    <w:sdtContent>
      <w:p w14:paraId="461F943B" w14:textId="3FBF6838" w:rsidR="00DF11C3" w:rsidRDefault="00DF11C3">
        <w:pPr>
          <w:pStyle w:val="Pieddepage"/>
          <w:jc w:val="right"/>
        </w:pPr>
        <w:r>
          <w:fldChar w:fldCharType="begin"/>
        </w:r>
        <w:r>
          <w:instrText>PAGE   \* MERGEFORMAT</w:instrText>
        </w:r>
        <w:r>
          <w:fldChar w:fldCharType="separate"/>
        </w:r>
        <w:r>
          <w:rPr>
            <w:lang w:val="fr-CA"/>
          </w:rPr>
          <w:t>2</w:t>
        </w:r>
        <w:r>
          <w:fldChar w:fldCharType="end"/>
        </w:r>
      </w:p>
    </w:sdtContent>
  </w:sdt>
  <w:p w14:paraId="16EE3441" w14:textId="77777777" w:rsidR="00CF5E99" w:rsidRDefault="00CF5E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E4D0F" w14:textId="77777777" w:rsidR="00622F17" w:rsidRDefault="00622F17">
      <w:pPr>
        <w:spacing w:line="240" w:lineRule="auto"/>
      </w:pPr>
      <w:r>
        <w:separator/>
      </w:r>
    </w:p>
  </w:footnote>
  <w:footnote w:type="continuationSeparator" w:id="0">
    <w:p w14:paraId="0D04E380" w14:textId="77777777" w:rsidR="00622F17" w:rsidRDefault="00622F1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CB6F36"/>
    <w:multiLevelType w:val="multilevel"/>
    <w:tmpl w:val="7B3C4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8617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3FE"/>
    <w:rsid w:val="00137E33"/>
    <w:rsid w:val="00622F17"/>
    <w:rsid w:val="00645DF3"/>
    <w:rsid w:val="006F45C8"/>
    <w:rsid w:val="00832059"/>
    <w:rsid w:val="009B380B"/>
    <w:rsid w:val="00A522D1"/>
    <w:rsid w:val="00C633FE"/>
    <w:rsid w:val="00CA1E3F"/>
    <w:rsid w:val="00CF5E99"/>
    <w:rsid w:val="00DF11C3"/>
    <w:rsid w:val="00E5601E"/>
    <w:rsid w:val="00FD759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21A80"/>
  <w15:docId w15:val="{E2DCE6C8-914D-4C3E-9D39-9454200E6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unhideWhenUsed/>
    <w:qFormat/>
    <w:pPr>
      <w:keepNext/>
      <w:keepLines/>
      <w:spacing w:before="320" w:after="80"/>
      <w:outlineLvl w:val="2"/>
    </w:pPr>
    <w:rPr>
      <w:color w:val="434343"/>
      <w:sz w:val="28"/>
      <w:szCs w:val="28"/>
    </w:rPr>
  </w:style>
  <w:style w:type="paragraph" w:styleId="Titre4">
    <w:name w:val="heading 4"/>
    <w:basedOn w:val="Normal"/>
    <w:next w:val="Normal"/>
    <w:uiPriority w:val="9"/>
    <w:unhideWhenUsed/>
    <w:qFormat/>
    <w:pPr>
      <w:keepNext/>
      <w:keepLines/>
      <w:spacing w:before="280" w:after="80"/>
      <w:outlineLvl w:val="3"/>
    </w:pPr>
    <w:rPr>
      <w:color w:val="666666"/>
      <w:sz w:val="24"/>
      <w:szCs w:val="24"/>
    </w:rPr>
  </w:style>
  <w:style w:type="paragraph" w:styleId="Titre5">
    <w:name w:val="heading 5"/>
    <w:basedOn w:val="Normal"/>
    <w:next w:val="Normal"/>
    <w:uiPriority w:val="9"/>
    <w:unhideWhenUsed/>
    <w:qFormat/>
    <w:pPr>
      <w:keepNext/>
      <w:keepLines/>
      <w:spacing w:before="240" w:after="80"/>
      <w:outlineLvl w:val="4"/>
    </w:pPr>
    <w:rPr>
      <w:color w:val="666666"/>
    </w:rPr>
  </w:style>
  <w:style w:type="paragraph" w:styleId="Titre6">
    <w:name w:val="heading 6"/>
    <w:basedOn w:val="Normal"/>
    <w:next w:val="Normal"/>
    <w:uiPriority w:val="9"/>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En-tte">
    <w:name w:val="header"/>
    <w:basedOn w:val="Normal"/>
    <w:link w:val="En-tteCar"/>
    <w:uiPriority w:val="99"/>
    <w:unhideWhenUsed/>
    <w:rsid w:val="00CF5E99"/>
    <w:pPr>
      <w:tabs>
        <w:tab w:val="center" w:pos="4320"/>
        <w:tab w:val="right" w:pos="8640"/>
      </w:tabs>
      <w:spacing w:line="240" w:lineRule="auto"/>
    </w:pPr>
  </w:style>
  <w:style w:type="character" w:customStyle="1" w:styleId="En-tteCar">
    <w:name w:val="En-tête Car"/>
    <w:basedOn w:val="Policepardfaut"/>
    <w:link w:val="En-tte"/>
    <w:uiPriority w:val="99"/>
    <w:rsid w:val="00CF5E99"/>
  </w:style>
  <w:style w:type="paragraph" w:styleId="Pieddepage">
    <w:name w:val="footer"/>
    <w:basedOn w:val="Normal"/>
    <w:link w:val="PieddepageCar"/>
    <w:uiPriority w:val="99"/>
    <w:unhideWhenUsed/>
    <w:rsid w:val="00CF5E99"/>
    <w:pPr>
      <w:tabs>
        <w:tab w:val="center" w:pos="4320"/>
        <w:tab w:val="right" w:pos="8640"/>
      </w:tabs>
      <w:spacing w:line="240" w:lineRule="auto"/>
    </w:pPr>
  </w:style>
  <w:style w:type="character" w:customStyle="1" w:styleId="PieddepageCar">
    <w:name w:val="Pied de page Car"/>
    <w:basedOn w:val="Policepardfaut"/>
    <w:link w:val="Pieddepage"/>
    <w:uiPriority w:val="99"/>
    <w:rsid w:val="00CF5E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obby-halte-aux-derapages.org/" TargetMode="External"/><Relationship Id="rId13" Type="http://schemas.openxmlformats.org/officeDocument/2006/relationships/hyperlink" Target="https://trpocb.org" TargetMode="Externa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s://trpocb.org/campagnes/lobby/"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quebec.attac.org/" TargetMode="External"/><Relationship Id="rId5" Type="http://schemas.openxmlformats.org/officeDocument/2006/relationships/footnotes" Target="footnotes.xml"/><Relationship Id="rId15" Type="http://schemas.openxmlformats.org/officeDocument/2006/relationships/hyperlink" Target="https://www.vigilanceogm.org/" TargetMode="External"/><Relationship Id="rId10" Type="http://schemas.openxmlformats.org/officeDocument/2006/relationships/hyperlink" Target="https://lobbyisme.quebec/wp-content/uploads/2026/05/20260525_RAPPORTSPECIAL.pdf" TargetMode="External"/><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lobby-halte-aux-derapages.org/propositions-lobby-halte-aux-derapages/" TargetMode="External"/><Relationship Id="rId14" Type="http://schemas.openxmlformats.org/officeDocument/2006/relationships/hyperlink" Target="https://trpocb.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97643D1D4D9347AA0297DEEA93E74E" ma:contentTypeVersion="13" ma:contentTypeDescription="Crée un document." ma:contentTypeScope="" ma:versionID="3abee19161b971dbd7df5afd8b88721a">
  <xsd:schema xmlns:xsd="http://www.w3.org/2001/XMLSchema" xmlns:xs="http://www.w3.org/2001/XMLSchema" xmlns:p="http://schemas.microsoft.com/office/2006/metadata/properties" xmlns:ns2="b8d4d84c-c491-445f-b2d2-27f1e9ddc196" xmlns:ns3="c55d25d2-0c3f-426a-83a4-d0cf64599e04" targetNamespace="http://schemas.microsoft.com/office/2006/metadata/properties" ma:root="true" ma:fieldsID="e1c47a706918947c195aae9b4d90f607" ns2:_="" ns3:_="">
    <xsd:import namespace="b8d4d84c-c491-445f-b2d2-27f1e9ddc196"/>
    <xsd:import namespace="c55d25d2-0c3f-426a-83a4-d0cf64599e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4d84c-c491-445f-b2d2-27f1e9dd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176c04c2-454a-4991-89a7-9db4f6c93f2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5d25d2-0c3f-426a-83a4-d0cf64599e0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6db6926-bcbb-4b27-808e-cbd9d13baafe}" ma:internalName="TaxCatchAll" ma:showField="CatchAllData" ma:web="c55d25d2-0c3f-426a-83a4-d0cf64599e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55d25d2-0c3f-426a-83a4-d0cf64599e04" xsi:nil="true"/>
    <lcf76f155ced4ddcb4097134ff3c332f xmlns="b8d4d84c-c491-445f-b2d2-27f1e9ddc19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C46BA5F-F921-4E3F-A3AD-C55A8517F76B}"/>
</file>

<file path=customXml/itemProps2.xml><?xml version="1.0" encoding="utf-8"?>
<ds:datastoreItem xmlns:ds="http://schemas.openxmlformats.org/officeDocument/2006/customXml" ds:itemID="{68C8BF7D-20D9-483B-8D22-F5DE279862D6}"/>
</file>

<file path=customXml/itemProps3.xml><?xml version="1.0" encoding="utf-8"?>
<ds:datastoreItem xmlns:ds="http://schemas.openxmlformats.org/officeDocument/2006/customXml" ds:itemID="{4D1C2076-B4BA-4C02-ACC5-67D62131F8FE}"/>
</file>

<file path=docProps/app.xml><?xml version="1.0" encoding="utf-8"?>
<Properties xmlns="http://schemas.openxmlformats.org/officeDocument/2006/extended-properties" xmlns:vt="http://schemas.openxmlformats.org/officeDocument/2006/docPropsVTypes">
  <Template>Normal.dotm</Template>
  <TotalTime>5</TotalTime>
  <Pages>3</Pages>
  <Words>1248</Words>
  <Characters>7104</Characters>
  <Application>Microsoft Office Word</Application>
  <DocSecurity>0</DocSecurity>
  <Lines>97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Mercédez Roberge</cp:lastModifiedBy>
  <cp:revision>10</cp:revision>
  <dcterms:created xsi:type="dcterms:W3CDTF">2026-06-10T14:59:00Z</dcterms:created>
  <dcterms:modified xsi:type="dcterms:W3CDTF">2026-06-10T15:03:00Z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0x010100A397643D1D4D9347AA0297DEEA93E74E</vt:lpwstr>
  </property>
</Properties>
</file>