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26D40" w14:textId="25DF3A4E" w:rsidR="00A33218" w:rsidRDefault="001B35AC" w:rsidP="002C0F2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/>
        <w:ind w:left="-142" w:right="-291"/>
        <w:jc w:val="both"/>
        <w:rPr>
          <w:rFonts w:cs="Calibri"/>
        </w:rPr>
      </w:pPr>
      <w:r>
        <w:rPr>
          <w:rFonts w:cs="Calibri"/>
        </w:rPr>
        <w:t xml:space="preserve">Quelques mois </w:t>
      </w:r>
      <w:r w:rsidR="00BD7E37">
        <w:rPr>
          <w:rFonts w:cs="Calibri"/>
        </w:rPr>
        <w:t>après</w:t>
      </w:r>
      <w:r>
        <w:rPr>
          <w:rFonts w:cs="Calibri"/>
        </w:rPr>
        <w:t xml:space="preserve"> l’adoption de</w:t>
      </w:r>
      <w:r w:rsidR="00555E64" w:rsidRPr="00E224AD">
        <w:rPr>
          <w:rFonts w:cs="Calibri"/>
        </w:rPr>
        <w:t xml:space="preserve"> la </w:t>
      </w:r>
      <w:r w:rsidR="00555E64" w:rsidRPr="00E224AD">
        <w:rPr>
          <w:rFonts w:cs="Calibri"/>
          <w:i/>
          <w:iCs/>
        </w:rPr>
        <w:t>Loi sur la transparence et l’éthique en matière de lobbyisme</w:t>
      </w:r>
      <w:r w:rsidR="00555E64">
        <w:rPr>
          <w:rFonts w:cs="Calibri"/>
          <w:i/>
          <w:iCs/>
        </w:rPr>
        <w:t xml:space="preserve"> (LTEML)</w:t>
      </w:r>
      <w:r w:rsidR="008F522D">
        <w:rPr>
          <w:rFonts w:cs="Calibri"/>
          <w:i/>
          <w:iCs/>
        </w:rPr>
        <w:t>,</w:t>
      </w:r>
      <w:r w:rsidR="00583595">
        <w:rPr>
          <w:rFonts w:cs="Calibri"/>
          <w:i/>
          <w:iCs/>
        </w:rPr>
        <w:t xml:space="preserve"> </w:t>
      </w:r>
      <w:r w:rsidR="00583595" w:rsidRPr="000D07B4">
        <w:rPr>
          <w:rFonts w:cs="Calibri"/>
        </w:rPr>
        <w:t>en 2002</w:t>
      </w:r>
      <w:r w:rsidRPr="000D07B4">
        <w:rPr>
          <w:rFonts w:cs="Calibri"/>
        </w:rPr>
        <w:t>,</w:t>
      </w:r>
      <w:r>
        <w:rPr>
          <w:rFonts w:cs="Calibri"/>
          <w:i/>
          <w:iCs/>
        </w:rPr>
        <w:t xml:space="preserve"> </w:t>
      </w:r>
      <w:r w:rsidR="00A33218">
        <w:rPr>
          <w:rFonts w:cs="Calibri"/>
        </w:rPr>
        <w:t xml:space="preserve">un </w:t>
      </w:r>
      <w:hyperlink r:id="rId10" w:history="1">
        <w:r w:rsidR="00A33218" w:rsidRPr="007C6A9B">
          <w:rPr>
            <w:rFonts w:cs="Calibri"/>
          </w:rPr>
          <w:t xml:space="preserve">règlement </w:t>
        </w:r>
        <w:r>
          <w:rPr>
            <w:rFonts w:cs="Calibri"/>
          </w:rPr>
          <w:t xml:space="preserve">a </w:t>
        </w:r>
        <w:r w:rsidR="00A33218" w:rsidRPr="007C6A9B">
          <w:rPr>
            <w:rFonts w:cs="Calibri"/>
          </w:rPr>
          <w:t>exclu</w:t>
        </w:r>
        <w:r w:rsidR="00A33218">
          <w:rPr>
            <w:rFonts w:cs="Calibri"/>
          </w:rPr>
          <w:t xml:space="preserve"> </w:t>
        </w:r>
        <w:r w:rsidR="00A33218" w:rsidRPr="007C6A9B">
          <w:rPr>
            <w:rFonts w:cs="Calibri"/>
          </w:rPr>
          <w:t xml:space="preserve">les </w:t>
        </w:r>
        <w:r w:rsidR="003D0A70">
          <w:rPr>
            <w:rFonts w:cs="Calibri"/>
          </w:rPr>
          <w:t>organismes sans but lucratif (</w:t>
        </w:r>
        <w:r w:rsidR="00A33218" w:rsidRPr="007C6A9B">
          <w:rPr>
            <w:rFonts w:cs="Calibri"/>
          </w:rPr>
          <w:t>OSBL</w:t>
        </w:r>
        <w:r w:rsidR="003D0A70">
          <w:rPr>
            <w:rFonts w:cs="Calibri"/>
          </w:rPr>
          <w:t>)</w:t>
        </w:r>
        <w:r w:rsidR="00A33218" w:rsidRPr="007C6A9B">
          <w:rPr>
            <w:rFonts w:cs="Calibri"/>
          </w:rPr>
          <w:t xml:space="preserve"> composés majoritairement d’autres OSBL </w:t>
        </w:r>
        <w:r w:rsidR="00581D80">
          <w:rPr>
            <w:rFonts w:cs="Calibri"/>
          </w:rPr>
          <w:t>d</w:t>
        </w:r>
        <w:r w:rsidR="00A7082D">
          <w:rPr>
            <w:rFonts w:cs="Calibri"/>
          </w:rPr>
          <w:t>e son</w:t>
        </w:r>
        <w:r w:rsidR="00A33218" w:rsidRPr="007C6A9B">
          <w:rPr>
            <w:rFonts w:cs="Calibri"/>
          </w:rPr>
          <w:t xml:space="preserve"> champ d’application</w:t>
        </w:r>
        <w:r w:rsidR="00A33218">
          <w:rPr>
            <w:rFonts w:cs="Calibri"/>
          </w:rPr>
          <w:t xml:space="preserve"> (1.11)</w:t>
        </w:r>
        <w:r w:rsidR="00A33218" w:rsidRPr="007C6A9B">
          <w:rPr>
            <w:rFonts w:cs="Calibri"/>
          </w:rPr>
          <w:t>.</w:t>
        </w:r>
      </w:hyperlink>
      <w:r w:rsidR="00A33218">
        <w:rPr>
          <w:rFonts w:cs="Calibri"/>
        </w:rPr>
        <w:t xml:space="preserve"> </w:t>
      </w:r>
      <w:r w:rsidR="00A33218" w:rsidRPr="00F51F06">
        <w:rPr>
          <w:rFonts w:cs="Calibri"/>
        </w:rPr>
        <w:t xml:space="preserve">Par ce règlement, la Loi </w:t>
      </w:r>
      <w:r w:rsidR="00BD7E37">
        <w:rPr>
          <w:rFonts w:cs="Calibri"/>
        </w:rPr>
        <w:t xml:space="preserve">a </w:t>
      </w:r>
      <w:r w:rsidR="00A33218" w:rsidRPr="00F51F06">
        <w:rPr>
          <w:rFonts w:cs="Calibri"/>
        </w:rPr>
        <w:t xml:space="preserve">fait une différence entre </w:t>
      </w:r>
      <w:r w:rsidR="00E7579E">
        <w:rPr>
          <w:rFonts w:cs="Calibri"/>
        </w:rPr>
        <w:t>les interventions</w:t>
      </w:r>
      <w:r w:rsidR="00A33218" w:rsidRPr="00F51F06">
        <w:rPr>
          <w:rFonts w:cs="Calibri"/>
        </w:rPr>
        <w:t xml:space="preserve"> </w:t>
      </w:r>
      <w:r w:rsidR="004B15E5">
        <w:rPr>
          <w:rFonts w:cs="Calibri"/>
        </w:rPr>
        <w:t xml:space="preserve">auprès des titulaires de charges publiques </w:t>
      </w:r>
      <w:r w:rsidR="00A33218" w:rsidRPr="00F51F06">
        <w:rPr>
          <w:rFonts w:cs="Calibri"/>
        </w:rPr>
        <w:t xml:space="preserve">pour accroître les profits </w:t>
      </w:r>
      <w:r w:rsidR="00581D80">
        <w:rPr>
          <w:rFonts w:cs="Calibri"/>
        </w:rPr>
        <w:t>(</w:t>
      </w:r>
      <w:r w:rsidR="00A33218" w:rsidRPr="00F51F06">
        <w:rPr>
          <w:rFonts w:cs="Calibri"/>
        </w:rPr>
        <w:t>d’entreprises ou de sociétés ou les dividendes d’actionnaires</w:t>
      </w:r>
      <w:r w:rsidR="00581D80">
        <w:rPr>
          <w:rFonts w:cs="Calibri"/>
        </w:rPr>
        <w:t>)</w:t>
      </w:r>
      <w:r w:rsidR="00A33218" w:rsidRPr="00F51F06">
        <w:rPr>
          <w:rFonts w:cs="Calibri"/>
        </w:rPr>
        <w:t xml:space="preserve"> </w:t>
      </w:r>
      <w:r w:rsidR="00E7579E">
        <w:rPr>
          <w:rFonts w:cs="Calibri"/>
        </w:rPr>
        <w:t>et les interventions</w:t>
      </w:r>
      <w:r w:rsidR="004C45E6">
        <w:rPr>
          <w:rFonts w:cs="Calibri"/>
        </w:rPr>
        <w:t xml:space="preserve"> en tant qu’</w:t>
      </w:r>
      <w:r w:rsidR="003D0A70">
        <w:rPr>
          <w:rFonts w:cs="Calibri"/>
        </w:rPr>
        <w:t>OSBL</w:t>
      </w:r>
      <w:r w:rsidR="00293351">
        <w:rPr>
          <w:rFonts w:cs="Calibri"/>
        </w:rPr>
        <w:t xml:space="preserve">, </w:t>
      </w:r>
      <w:r w:rsidR="003D0A70">
        <w:rPr>
          <w:rFonts w:cs="Calibri"/>
        </w:rPr>
        <w:t xml:space="preserve">sans </w:t>
      </w:r>
      <w:r w:rsidR="00F55B90">
        <w:rPr>
          <w:rFonts w:cs="Calibri"/>
        </w:rPr>
        <w:t xml:space="preserve">visées </w:t>
      </w:r>
      <w:r w:rsidR="00782449">
        <w:rPr>
          <w:rFonts w:cs="Calibri"/>
        </w:rPr>
        <w:t>pécuniaire</w:t>
      </w:r>
      <w:r w:rsidR="00F55B90">
        <w:rPr>
          <w:rFonts w:cs="Calibri"/>
        </w:rPr>
        <w:t>s</w:t>
      </w:r>
      <w:r w:rsidR="00A33218" w:rsidRPr="00F51F06">
        <w:rPr>
          <w:rFonts w:cs="Calibri"/>
        </w:rPr>
        <w:t>.</w:t>
      </w:r>
    </w:p>
    <w:p w14:paraId="369A8238" w14:textId="77777777" w:rsidR="00E37335" w:rsidRDefault="00E37335" w:rsidP="002C0F2B">
      <w:p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rFonts w:cs="Calibri"/>
        </w:rPr>
      </w:pPr>
    </w:p>
    <w:p w14:paraId="5A304794" w14:textId="77777777" w:rsidR="00637D0C" w:rsidRPr="000D07B4" w:rsidRDefault="00000000">
      <w:pPr>
        <w:spacing w:after="0"/>
        <w:ind w:left="-142" w:right="-291"/>
        <w:jc w:val="both"/>
      </w:pPr>
      <w:r w:rsidRPr="009448C8">
        <w:t>De</w:t>
      </w:r>
      <w:r w:rsidRPr="009448C8">
        <w:t>puis</w:t>
      </w:r>
      <w:r w:rsidRPr="009448C8">
        <w:t xml:space="preserve"> 2014</w:t>
      </w:r>
      <w:r w:rsidRPr="009448C8">
        <w:t xml:space="preserve">, les OSBL réunis sous la bannière de la </w:t>
      </w:r>
      <w:hyperlink r:id="rId11" w:history="1">
        <w:r w:rsidRPr="009448C8">
          <w:rPr>
            <w:rStyle w:val="Hyperlien"/>
          </w:rPr>
          <w:t xml:space="preserve">coalition </w:t>
        </w:r>
        <w:r w:rsidRPr="009448C8">
          <w:rPr>
            <w:rStyle w:val="Hyperlien"/>
          </w:rPr>
          <w:t>Mon OSBL n’est pas un lobby</w:t>
        </w:r>
      </w:hyperlink>
      <w:r w:rsidRPr="009448C8">
        <w:t xml:space="preserve"> </w:t>
      </w:r>
      <w:r w:rsidRPr="009448C8">
        <w:t>ont fait ent</w:t>
      </w:r>
      <w:r w:rsidRPr="009448C8">
        <w:t xml:space="preserve">endre l’opposition de </w:t>
      </w:r>
      <w:r w:rsidRPr="009448C8">
        <w:t>m</w:t>
      </w:r>
      <w:r w:rsidRPr="009448C8">
        <w:t xml:space="preserve">illiers de groupes et d’organisations </w:t>
      </w:r>
      <w:r w:rsidRPr="009448C8">
        <w:t>face aux</w:t>
      </w:r>
      <w:r w:rsidRPr="009448C8">
        <w:t xml:space="preserve"> </w:t>
      </w:r>
      <w:r w:rsidRPr="009448C8">
        <w:t>tentatives d’</w:t>
      </w:r>
      <w:r w:rsidRPr="009448C8">
        <w:t xml:space="preserve">assujettissement </w:t>
      </w:r>
      <w:r w:rsidRPr="009448C8">
        <w:t xml:space="preserve">des OSBL </w:t>
      </w:r>
      <w:r w:rsidRPr="009448C8">
        <w:t>à la Loi, toujours avec les mêmes arguments :</w:t>
      </w:r>
      <w:r w:rsidRPr="009448C8">
        <w:t xml:space="preserve"> l</w:t>
      </w:r>
      <w:r w:rsidRPr="009448C8">
        <w:t>es membres de ces groupes y réalisent leur droit d’association</w:t>
      </w:r>
      <w:r w:rsidRPr="009448C8">
        <w:t>,</w:t>
      </w:r>
      <w:r w:rsidRPr="009448C8">
        <w:t xml:space="preserve"> </w:t>
      </w:r>
      <w:r w:rsidRPr="009448C8">
        <w:t>i</w:t>
      </w:r>
      <w:r w:rsidRPr="009448C8">
        <w:t>ls décident démocratiquement, ils agissent pour le bien de l’ensemble de la collectivité et ils interviennent déjà dans la transparence.</w:t>
      </w:r>
    </w:p>
    <w:p w14:paraId="1CDE18DF" w14:textId="77777777" w:rsidR="00C31372" w:rsidRDefault="00C31372" w:rsidP="002C0F2B">
      <w:p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rFonts w:cs="Calibri"/>
        </w:rPr>
      </w:pPr>
    </w:p>
    <w:p w14:paraId="6F08E43F" w14:textId="3B2B24ED" w:rsidR="00F96AB4" w:rsidRDefault="00B75FB2" w:rsidP="002C0F2B">
      <w:p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rFonts w:cs="Calibri"/>
        </w:rPr>
      </w:pPr>
      <w:r>
        <w:rPr>
          <w:rFonts w:cs="Calibri"/>
        </w:rPr>
        <w:t xml:space="preserve">Parmi </w:t>
      </w:r>
      <w:r w:rsidR="00CF6398">
        <w:rPr>
          <w:rFonts w:cs="Calibri"/>
        </w:rPr>
        <w:t>l</w:t>
      </w:r>
      <w:r>
        <w:rPr>
          <w:rFonts w:cs="Calibri"/>
        </w:rPr>
        <w:t>es actions</w:t>
      </w:r>
      <w:r w:rsidR="00CF6398">
        <w:rPr>
          <w:rFonts w:cs="Calibri"/>
        </w:rPr>
        <w:t xml:space="preserve"> d’opposition</w:t>
      </w:r>
      <w:r w:rsidR="00F6374B">
        <w:rPr>
          <w:rFonts w:cs="Calibri"/>
        </w:rPr>
        <w:t>,</w:t>
      </w:r>
      <w:r>
        <w:rPr>
          <w:rFonts w:cs="Calibri"/>
        </w:rPr>
        <w:t xml:space="preserve"> soulignons celles qui ont mené à l’abandon du </w:t>
      </w:r>
      <w:hyperlink r:id="rId12" w:history="1">
        <w:r w:rsidRPr="00964846">
          <w:rPr>
            <w:rFonts w:cs="Calibri"/>
          </w:rPr>
          <w:t>projet de loi 56</w:t>
        </w:r>
      </w:hyperlink>
      <w:r>
        <w:rPr>
          <w:rFonts w:cs="Calibri"/>
        </w:rPr>
        <w:t xml:space="preserve">, lequel aurait assujetti tous les OSBL à la </w:t>
      </w:r>
      <w:r w:rsidR="0027722B">
        <w:rPr>
          <w:rFonts w:cs="Calibri"/>
        </w:rPr>
        <w:t>L</w:t>
      </w:r>
      <w:r>
        <w:rPr>
          <w:rFonts w:cs="Calibri"/>
        </w:rPr>
        <w:t>oi</w:t>
      </w:r>
      <w:r w:rsidR="00924C39">
        <w:rPr>
          <w:rFonts w:cs="Calibri"/>
        </w:rPr>
        <w:t>.</w:t>
      </w:r>
      <w:r>
        <w:rPr>
          <w:rFonts w:cs="Calibri"/>
        </w:rPr>
        <w:t xml:space="preserve"> </w:t>
      </w:r>
      <w:r w:rsidR="00924C39">
        <w:rPr>
          <w:rFonts w:cs="Calibri"/>
        </w:rPr>
        <w:t>E</w:t>
      </w:r>
      <w:r>
        <w:rPr>
          <w:rFonts w:cs="Calibri"/>
        </w:rPr>
        <w:t xml:space="preserve">n 2015, une </w:t>
      </w:r>
      <w:hyperlink r:id="rId13" w:history="1">
        <w:r w:rsidRPr="00DC6F2E">
          <w:rPr>
            <w:rFonts w:cs="Calibri"/>
          </w:rPr>
          <w:t xml:space="preserve">lettre </w:t>
        </w:r>
        <w:r w:rsidR="000C7909">
          <w:rPr>
            <w:rFonts w:cs="Calibri"/>
          </w:rPr>
          <w:t xml:space="preserve">appuyée par </w:t>
        </w:r>
        <w:r w:rsidRPr="00DC6F2E">
          <w:rPr>
            <w:rFonts w:cs="Calibri"/>
          </w:rPr>
          <w:t>1105 signataires, dont 680 organisations</w:t>
        </w:r>
      </w:hyperlink>
      <w:r w:rsidRPr="000C1715">
        <w:rPr>
          <w:rFonts w:cs="Calibri"/>
        </w:rPr>
        <w:t xml:space="preserve"> variées</w:t>
      </w:r>
      <w:r>
        <w:rPr>
          <w:rFonts w:cs="Calibri"/>
        </w:rPr>
        <w:t>,</w:t>
      </w:r>
      <w:r w:rsidR="00CA3E94">
        <w:rPr>
          <w:rFonts w:cs="Calibri"/>
        </w:rPr>
        <w:t xml:space="preserve"> a été</w:t>
      </w:r>
      <w:r>
        <w:rPr>
          <w:rFonts w:cs="Calibri"/>
        </w:rPr>
        <w:t xml:space="preserve"> suivie d’une </w:t>
      </w:r>
      <w:hyperlink r:id="rId14" w:history="1">
        <w:r w:rsidRPr="00FA4471">
          <w:rPr>
            <w:rFonts w:cs="Calibri"/>
          </w:rPr>
          <w:t>pétition signée par 8500 personnes</w:t>
        </w:r>
      </w:hyperlink>
      <w:r w:rsidR="00B7797A">
        <w:rPr>
          <w:rFonts w:cs="Calibri"/>
        </w:rPr>
        <w:t xml:space="preserve">. Aussi, </w:t>
      </w:r>
      <w:hyperlink r:id="rId15" w:history="1">
        <w:r w:rsidRPr="00D45F54">
          <w:rPr>
            <w:rFonts w:cs="Calibri"/>
          </w:rPr>
          <w:t xml:space="preserve">117 documents, dont 80 mémoires, </w:t>
        </w:r>
        <w:r w:rsidR="00B7797A">
          <w:rPr>
            <w:rFonts w:cs="Calibri"/>
          </w:rPr>
          <w:t xml:space="preserve">ont été </w:t>
        </w:r>
        <w:r w:rsidRPr="00D45F54">
          <w:rPr>
            <w:rFonts w:cs="Calibri"/>
          </w:rPr>
          <w:t>déposés au Commissaire au lobbyisme du Québec</w:t>
        </w:r>
      </w:hyperlink>
      <w:r>
        <w:rPr>
          <w:rFonts w:cs="Calibri"/>
        </w:rPr>
        <w:t xml:space="preserve"> durant la consultation complémentaire qu’il </w:t>
      </w:r>
      <w:r w:rsidR="00DA2235">
        <w:rPr>
          <w:rFonts w:cs="Calibri"/>
        </w:rPr>
        <w:t>a été</w:t>
      </w:r>
      <w:r>
        <w:rPr>
          <w:rFonts w:cs="Calibri"/>
        </w:rPr>
        <w:t xml:space="preserve"> chargé de mener en 2016</w:t>
      </w:r>
      <w:r w:rsidR="009F35B7">
        <w:rPr>
          <w:rFonts w:cs="Calibri"/>
        </w:rPr>
        <w:t>.</w:t>
      </w:r>
    </w:p>
    <w:p w14:paraId="116A0C4B" w14:textId="77777777" w:rsidR="009F35B7" w:rsidRDefault="009F35B7" w:rsidP="002C0F2B">
      <w:p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rFonts w:cs="Calibri"/>
        </w:rPr>
      </w:pPr>
    </w:p>
    <w:p w14:paraId="2E176C03" w14:textId="77777777" w:rsidR="00637D0C" w:rsidRPr="000D07B4" w:rsidRDefault="00000000">
      <w:pPr>
        <w:spacing w:after="0"/>
        <w:ind w:left="-142" w:right="-291"/>
        <w:jc w:val="both"/>
      </w:pPr>
      <w:r w:rsidRPr="007E4DEF">
        <w:t xml:space="preserve">Plus récemment, </w:t>
      </w:r>
      <w:hyperlink r:id="rId16" w:history="1">
        <w:r w:rsidRPr="007E4DEF">
          <w:rPr>
            <w:rStyle w:val="Hyperlien"/>
          </w:rPr>
          <w:t>ATTAC-Québec</w:t>
        </w:r>
      </w:hyperlink>
      <w:r w:rsidR="007E4DEF">
        <w:t>,</w:t>
      </w:r>
      <w:r w:rsidRPr="007E4DEF">
        <w:t xml:space="preserve"> </w:t>
      </w:r>
      <w:hyperlink r:id="rId17" w:history="1">
        <w:r w:rsidRPr="00DA2235">
          <w:rPr>
            <w:rStyle w:val="Hyperlien"/>
          </w:rPr>
          <w:t>Vigilance OGM</w:t>
        </w:r>
      </w:hyperlink>
      <w:r w:rsidRPr="007E4DEF">
        <w:t xml:space="preserve"> et </w:t>
      </w:r>
      <w:hyperlink r:id="rId18" w:history="1">
        <w:r w:rsidRPr="006001C6">
          <w:rPr>
            <w:rFonts w:cs="Calibri"/>
          </w:rPr>
          <w:t>Mon OSBL n’est pas un lobby</w:t>
        </w:r>
      </w:hyperlink>
      <w:r w:rsidRPr="007E4DEF">
        <w:t xml:space="preserve"> ont mené deux actions sous le titre </w:t>
      </w:r>
      <w:r w:rsidRPr="007E4DEF">
        <w:t xml:space="preserve">« </w:t>
      </w:r>
      <w:r w:rsidRPr="007E4DEF">
        <w:t xml:space="preserve">Lobby : </w:t>
      </w:r>
      <w:r w:rsidRPr="007E4DEF">
        <w:t>H</w:t>
      </w:r>
      <w:r w:rsidRPr="007E4DEF">
        <w:t>alte aux dérapages</w:t>
      </w:r>
      <w:r w:rsidRPr="007E4DEF">
        <w:t>! »</w:t>
      </w:r>
      <w:r w:rsidRPr="007E4DEF">
        <w:t>. Depuis 2023,</w:t>
      </w:r>
      <w:r w:rsidRPr="007E4DEF">
        <w:t xml:space="preserve"> la </w:t>
      </w:r>
      <w:hyperlink r:id="rId19" w:history="1">
        <w:r w:rsidRPr="007E4DEF">
          <w:rPr>
            <w:rStyle w:val="Hyperlien"/>
          </w:rPr>
          <w:t>« Déclaration pour contrôler la recherche de profit et garantir le droit d’association</w:t>
        </w:r>
      </w:hyperlink>
      <w:r w:rsidRPr="007E4DEF">
        <w:t> » a récolté 2200 signatures, dont celles de plus de 300 organisations</w:t>
      </w:r>
      <w:r w:rsidRPr="007E4DEF">
        <w:t xml:space="preserve">. </w:t>
      </w:r>
      <w:r w:rsidRPr="007E4DEF">
        <w:t>C</w:t>
      </w:r>
      <w:r w:rsidRPr="007E4DEF">
        <w:t>elle-ci a mené à l’élaboration</w:t>
      </w:r>
      <w:r w:rsidRPr="007E4DEF">
        <w:t>, en 2025,</w:t>
      </w:r>
      <w:r w:rsidRPr="007E4DEF">
        <w:t xml:space="preserve"> de </w:t>
      </w:r>
      <w:hyperlink r:id="rId20" w:history="1">
        <w:r w:rsidRPr="007E4DEF">
          <w:rPr>
            <w:rStyle w:val="Hyperlien"/>
          </w:rPr>
          <w:t xml:space="preserve">29 propositions visant autant à </w:t>
        </w:r>
        <w:r w:rsidR="007E4DEF">
          <w:rPr>
            <w:rStyle w:val="Hyperlien"/>
          </w:rPr>
          <w:t>renforcer</w:t>
        </w:r>
        <w:r w:rsidRPr="007E4DEF">
          <w:rPr>
            <w:rStyle w:val="Hyperlien"/>
          </w:rPr>
          <w:t xml:space="preserve"> les règles pour les lobbyistes ayant des visées lucratives</w:t>
        </w:r>
        <w:r w:rsidRPr="007E4DEF">
          <w:rPr>
            <w:rStyle w:val="Hyperlien"/>
          </w:rPr>
          <w:t xml:space="preserve"> </w:t>
        </w:r>
        <w:r w:rsidRPr="007E4DEF">
          <w:rPr>
            <w:rStyle w:val="Hyperlien"/>
          </w:rPr>
          <w:t>qu’à protéger</w:t>
        </w:r>
        <w:r w:rsidRPr="007E4DEF">
          <w:rPr>
            <w:rStyle w:val="Hyperlien"/>
          </w:rPr>
          <w:t>, une</w:t>
        </w:r>
        <w:r w:rsidRPr="007E4DEF">
          <w:rPr>
            <w:rStyle w:val="Hyperlien"/>
          </w:rPr>
          <w:t xml:space="preserve"> fois pour toutes, le droit d’association inhérent aux mouvements sociaux</w:t>
        </w:r>
      </w:hyperlink>
      <w:r w:rsidRPr="007E4DEF">
        <w:t>. À ce jour, ces propositions ont reçu l’appui de plus de 118 organisations, représentant des milliers de Québécoises et de Québécois.</w:t>
      </w:r>
      <w:r w:rsidRPr="007E4DEF">
        <w:t xml:space="preserve"> A</w:t>
      </w:r>
      <w:r w:rsidRPr="007E4DEF">
        <w:t>ussi en ce momen</w:t>
      </w:r>
      <w:r w:rsidRPr="007E4DEF">
        <w:t xml:space="preserve">t, </w:t>
      </w:r>
      <w:r w:rsidRPr="007E4DEF">
        <w:t xml:space="preserve">de nombreux groupes </w:t>
      </w:r>
      <w:r w:rsidRPr="007E4DEF">
        <w:t>illustr</w:t>
      </w:r>
      <w:r w:rsidRPr="007E4DEF">
        <w:t>ent</w:t>
      </w:r>
      <w:r w:rsidRPr="007E4DEF">
        <w:t xml:space="preserve"> ce qui les distingue des lobbyistes assujettis à la Loi en participant </w:t>
      </w:r>
      <w:r w:rsidRPr="007E4DEF">
        <w:t xml:space="preserve">aux </w:t>
      </w:r>
      <w:r w:rsidRPr="007E4DEF">
        <w:t>action</w:t>
      </w:r>
      <w:r w:rsidRPr="007E4DEF">
        <w:t>s</w:t>
      </w:r>
      <w:r w:rsidRPr="007E4DEF">
        <w:t xml:space="preserve"> </w:t>
      </w:r>
      <w:r w:rsidRPr="007E4DEF">
        <w:t>« </w:t>
      </w:r>
      <w:hyperlink r:id="rId21" w:history="1">
        <w:r w:rsidRPr="007E4DEF">
          <w:rPr>
            <w:rStyle w:val="Hyperlien"/>
          </w:rPr>
          <w:t>Déclarons l’évidence </w:t>
        </w:r>
      </w:hyperlink>
      <w:r w:rsidRPr="007E4DEF">
        <w:t>» et « </w:t>
      </w:r>
      <w:hyperlink r:id="rId22" w:history="1">
        <w:r w:rsidRPr="007E4DEF">
          <w:rPr>
            <w:rStyle w:val="Hyperlien"/>
          </w:rPr>
          <w:t>Affichons l’évidence </w:t>
        </w:r>
      </w:hyperlink>
      <w:r w:rsidRPr="007E4DEF">
        <w:t>»</w:t>
      </w:r>
      <w:r w:rsidRPr="007E4DEF">
        <w:t>, menée</w:t>
      </w:r>
      <w:r w:rsidRPr="007E4DEF">
        <w:t>s</w:t>
      </w:r>
      <w:r w:rsidRPr="007E4DEF">
        <w:t xml:space="preserve"> par Mon OSBL n’est p</w:t>
      </w:r>
      <w:r w:rsidRPr="007E4DEF">
        <w:t>as un lobby</w:t>
      </w:r>
      <w:r w:rsidRPr="007E4DEF">
        <w:t>.</w:t>
      </w:r>
    </w:p>
    <w:p w14:paraId="29395B60" w14:textId="77777777" w:rsidR="00667A5A" w:rsidRDefault="00667A5A" w:rsidP="002C0F2B">
      <w:p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rFonts w:cs="Calibri"/>
        </w:rPr>
      </w:pPr>
    </w:p>
    <w:p w14:paraId="15F75050" w14:textId="77777777" w:rsidR="00637D0C" w:rsidRPr="000D07B4" w:rsidRDefault="00000000">
      <w:pPr>
        <w:spacing w:after="0"/>
        <w:ind w:left="-142" w:right="-291"/>
        <w:jc w:val="both"/>
      </w:pPr>
      <w:r w:rsidRPr="00690DCC">
        <w:t xml:space="preserve">Aucune des </w:t>
      </w:r>
      <w:r w:rsidRPr="00690DCC">
        <w:t xml:space="preserve">6 </w:t>
      </w:r>
      <w:r w:rsidRPr="00690DCC">
        <w:t xml:space="preserve">tentatives </w:t>
      </w:r>
      <w:r w:rsidRPr="00690DCC">
        <w:t xml:space="preserve">d’élargir le champ d’application de la Loi à l’ensemble des </w:t>
      </w:r>
      <w:r w:rsidRPr="00690DCC">
        <w:t>OSBL n’a</w:t>
      </w:r>
      <w:r w:rsidRPr="00690DCC">
        <w:t xml:space="preserve"> été</w:t>
      </w:r>
      <w:r w:rsidRPr="00690DCC">
        <w:t xml:space="preserve"> </w:t>
      </w:r>
      <w:r w:rsidRPr="00690DCC">
        <w:t>avalisée</w:t>
      </w:r>
      <w:r w:rsidRPr="00690DCC">
        <w:t xml:space="preserve"> par l’</w:t>
      </w:r>
      <w:r w:rsidRPr="00690DCC">
        <w:rPr>
          <w:color w:val="000000"/>
        </w:rPr>
        <w:t>Assemblée nationale</w:t>
      </w:r>
      <w:r w:rsidRPr="00690DCC">
        <w:rPr>
          <w:color w:val="000000"/>
        </w:rPr>
        <w:t>, mais une 7</w:t>
      </w:r>
      <w:r w:rsidRPr="00690DCC">
        <w:rPr>
          <w:color w:val="000000"/>
          <w:vertAlign w:val="superscript"/>
        </w:rPr>
        <w:t>e</w:t>
      </w:r>
      <w:r w:rsidRPr="00690DCC">
        <w:rPr>
          <w:color w:val="000000"/>
        </w:rPr>
        <w:t xml:space="preserve"> est </w:t>
      </w:r>
      <w:r w:rsidRPr="00690DCC">
        <w:rPr>
          <w:color w:val="000000"/>
        </w:rPr>
        <w:t xml:space="preserve">quand même </w:t>
      </w:r>
      <w:r w:rsidRPr="00690DCC">
        <w:rPr>
          <w:color w:val="000000"/>
        </w:rPr>
        <w:t>en cours</w:t>
      </w:r>
      <w:r w:rsidRPr="00690DCC">
        <w:t xml:space="preserve">. </w:t>
      </w:r>
      <w:r w:rsidRPr="00690DCC">
        <w:t>En effet</w:t>
      </w:r>
      <w:r w:rsidRPr="00690DCC">
        <w:t>, en</w:t>
      </w:r>
      <w:r w:rsidRPr="00690DCC">
        <w:t xml:space="preserve"> mai 2026, le Commissaire au lobbyisme du Québec est revenu à la charge </w:t>
      </w:r>
      <w:r w:rsidRPr="00690DCC">
        <w:t>en proposant même un « projet de loi » de son cru</w:t>
      </w:r>
      <w:r w:rsidRPr="00690DCC">
        <w:t xml:space="preserve"> dans </w:t>
      </w:r>
      <w:r w:rsidRPr="00690DCC">
        <w:t xml:space="preserve">son « </w:t>
      </w:r>
      <w:hyperlink r:id="rId23" w:history="1">
        <w:r w:rsidRPr="00690DCC">
          <w:rPr>
            <w:rStyle w:val="Hyperlien"/>
          </w:rPr>
          <w:t xml:space="preserve">rapport spécial </w:t>
        </w:r>
        <w:r w:rsidRPr="00690DCC">
          <w:rPr>
            <w:rStyle w:val="Hyperlien"/>
            <w:i/>
          </w:rPr>
          <w:t>Le devoir d’agir pour l’intégrité et la transparence</w:t>
        </w:r>
        <w:r w:rsidRPr="00690DCC">
          <w:rPr>
            <w:rStyle w:val="Hyperlien"/>
          </w:rPr>
          <w:t> </w:t>
        </w:r>
      </w:hyperlink>
      <w:r w:rsidRPr="00690DCC">
        <w:t xml:space="preserve">». </w:t>
      </w:r>
      <w:r w:rsidRPr="00690DCC">
        <w:t xml:space="preserve">Ce faisant, il fait à nouveau fi des </w:t>
      </w:r>
      <w:r w:rsidRPr="00690DCC">
        <w:t xml:space="preserve">raisons ayant </w:t>
      </w:r>
      <w:r w:rsidR="00690DCC">
        <w:t>mené</w:t>
      </w:r>
      <w:r w:rsidRPr="00690DCC">
        <w:t xml:space="preserve"> à l’exclusion des OSBL œuvrant pour le bien commun du champ d’application de la </w:t>
      </w:r>
      <w:r w:rsidRPr="00690DCC">
        <w:t>Loi</w:t>
      </w:r>
      <w:r w:rsidRPr="00690DCC">
        <w:t xml:space="preserve">. La réforme proposée par le Commissaire brimerait le droit d’association et la liberté d’expression </w:t>
      </w:r>
      <w:r w:rsidRPr="00690DCC">
        <w:t>des OSBL et de leurs</w:t>
      </w:r>
      <w:r w:rsidRPr="00690DCC">
        <w:t xml:space="preserve"> membres</w:t>
      </w:r>
      <w:r w:rsidRPr="00690DCC">
        <w:t xml:space="preserve">. </w:t>
      </w:r>
      <w:r w:rsidRPr="00690DCC">
        <w:t xml:space="preserve">Non seulement </w:t>
      </w:r>
      <w:r w:rsidRPr="00690DCC">
        <w:t>la réforme</w:t>
      </w:r>
      <w:r w:rsidRPr="00690DCC">
        <w:t xml:space="preserve"> nuirait à </w:t>
      </w:r>
      <w:proofErr w:type="gramStart"/>
      <w:r w:rsidRPr="00690DCC">
        <w:lastRenderedPageBreak/>
        <w:t>l’accès</w:t>
      </w:r>
      <w:proofErr w:type="gramEnd"/>
      <w:r w:rsidRPr="00690DCC">
        <w:t xml:space="preserve"> des groupes au </w:t>
      </w:r>
      <w:r w:rsidR="00690DCC">
        <w:t>gouvernement</w:t>
      </w:r>
      <w:r w:rsidRPr="00690DCC">
        <w:t xml:space="preserve"> et autres titulaires de charge publique, mais en plus cela </w:t>
      </w:r>
      <w:r w:rsidRPr="00690DCC">
        <w:t>limiter</w:t>
      </w:r>
      <w:r w:rsidRPr="00690DCC">
        <w:t xml:space="preserve">ait l’accès du </w:t>
      </w:r>
      <w:r w:rsidR="00690DCC">
        <w:t>gouvernement</w:t>
      </w:r>
      <w:r w:rsidRPr="00690DCC">
        <w:t xml:space="preserve"> à la parole citoyenne.</w:t>
      </w:r>
    </w:p>
    <w:p w14:paraId="26998EAC" w14:textId="77777777" w:rsidR="005F5256" w:rsidRDefault="005F5256" w:rsidP="002C0F2B">
      <w:p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rFonts w:cs="Calibri"/>
        </w:rPr>
      </w:pPr>
    </w:p>
    <w:p w14:paraId="6A72AF81" w14:textId="5520DD8D" w:rsidR="003A7942" w:rsidRDefault="00FC6E52" w:rsidP="002C0F2B">
      <w:pPr>
        <w:pStyle w:val="Paragraphedelist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rFonts w:cs="Calibri"/>
          <w:b/>
        </w:rPr>
      </w:pPr>
      <w:r w:rsidRPr="004276EB">
        <w:rPr>
          <w:b/>
          <w:bCs/>
        </w:rPr>
        <w:t>Que fera votre</w:t>
      </w:r>
      <w:r w:rsidR="003A7942" w:rsidRPr="004276EB">
        <w:rPr>
          <w:rFonts w:cs="Calibri"/>
          <w:b/>
          <w:bCs/>
        </w:rPr>
        <w:t xml:space="preserve"> parti </w:t>
      </w:r>
      <w:r w:rsidRPr="004276EB">
        <w:rPr>
          <w:b/>
          <w:bCs/>
        </w:rPr>
        <w:t>pour</w:t>
      </w:r>
      <w:r w:rsidR="003A7942" w:rsidRPr="004276EB">
        <w:rPr>
          <w:rFonts w:cs="Calibri"/>
          <w:b/>
          <w:bCs/>
        </w:rPr>
        <w:t xml:space="preserve"> protéger le droit d’association et la parole citoyenne</w:t>
      </w:r>
      <w:r w:rsidR="004276EB">
        <w:rPr>
          <w:rFonts w:cs="Calibri"/>
          <w:b/>
          <w:bCs/>
        </w:rPr>
        <w:t xml:space="preserve"> </w:t>
      </w:r>
      <w:r w:rsidR="004276EB" w:rsidRPr="004276EB">
        <w:rPr>
          <w:rFonts w:cs="Calibri"/>
          <w:b/>
          <w:bCs/>
        </w:rPr>
        <w:t xml:space="preserve">et </w:t>
      </w:r>
      <w:r w:rsidR="006F1F92">
        <w:rPr>
          <w:rFonts w:cs="Calibri"/>
          <w:b/>
          <w:bCs/>
        </w:rPr>
        <w:t xml:space="preserve">pour </w:t>
      </w:r>
      <w:r w:rsidR="004276EB" w:rsidRPr="004276EB">
        <w:rPr>
          <w:rFonts w:cs="Calibri"/>
          <w:b/>
          <w:bCs/>
        </w:rPr>
        <w:t>exclure</w:t>
      </w:r>
      <w:r w:rsidR="003A7942" w:rsidRPr="002C2C3F">
        <w:rPr>
          <w:rFonts w:cs="Calibri"/>
          <w:b/>
        </w:rPr>
        <w:t>, une fois pour toutes, les</w:t>
      </w:r>
      <w:r w:rsidR="00F23182" w:rsidRPr="002C2C3F">
        <w:rPr>
          <w:rFonts w:cs="Calibri"/>
          <w:b/>
        </w:rPr>
        <w:t xml:space="preserve"> OSBL</w:t>
      </w:r>
      <w:r w:rsidR="00F23182">
        <w:rPr>
          <w:rFonts w:cs="Calibri"/>
          <w:b/>
        </w:rPr>
        <w:t xml:space="preserve"> </w:t>
      </w:r>
      <w:r w:rsidR="00FF2795">
        <w:rPr>
          <w:rFonts w:cs="Calibri"/>
          <w:b/>
        </w:rPr>
        <w:t xml:space="preserve">réunissant </w:t>
      </w:r>
      <w:r w:rsidR="00EF5DE5">
        <w:rPr>
          <w:rFonts w:cs="Calibri"/>
          <w:b/>
        </w:rPr>
        <w:t xml:space="preserve">majoritairement </w:t>
      </w:r>
      <w:r w:rsidR="00FF2795">
        <w:rPr>
          <w:rFonts w:cs="Calibri"/>
          <w:b/>
        </w:rPr>
        <w:t xml:space="preserve">d’autres </w:t>
      </w:r>
      <w:r w:rsidR="00EF5DE5">
        <w:rPr>
          <w:rFonts w:cs="Calibri"/>
          <w:b/>
        </w:rPr>
        <w:t>OSBL</w:t>
      </w:r>
      <w:r w:rsidR="003A7942" w:rsidRPr="002C2C3F">
        <w:rPr>
          <w:rFonts w:cs="Calibri"/>
          <w:b/>
        </w:rPr>
        <w:t xml:space="preserve"> du champ d’application de la Loi sur la transparence et l’éthique en matière de lobbyisme</w:t>
      </w:r>
      <w:r w:rsidR="000E70DB">
        <w:rPr>
          <w:rFonts w:cs="Calibri"/>
          <w:b/>
        </w:rPr>
        <w:t xml:space="preserve"> </w:t>
      </w:r>
      <w:r w:rsidR="0088539F">
        <w:rPr>
          <w:rFonts w:cs="Calibri"/>
          <w:b/>
        </w:rPr>
        <w:t xml:space="preserve">? </w:t>
      </w:r>
    </w:p>
    <w:p w14:paraId="69C0E1BF" w14:textId="77777777" w:rsidR="006F1F92" w:rsidRPr="002C2C3F" w:rsidRDefault="006F1F92" w:rsidP="002C0F2B">
      <w:pPr>
        <w:pStyle w:val="Paragraphedeliste"/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rFonts w:cs="Calibri"/>
          <w:b/>
        </w:rPr>
      </w:pPr>
    </w:p>
    <w:p w14:paraId="662F6D6C" w14:textId="29DE2EEF" w:rsidR="001953A7" w:rsidRDefault="005759AB" w:rsidP="002C0F2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b/>
        </w:rPr>
      </w:pPr>
      <w:r w:rsidRPr="00193AF4">
        <w:rPr>
          <w:b/>
          <w:bCs/>
        </w:rPr>
        <w:t>Que fera votre</w:t>
      </w:r>
      <w:r w:rsidRPr="003A7942">
        <w:rPr>
          <w:rFonts w:cs="Calibri"/>
          <w:b/>
        </w:rPr>
        <w:t xml:space="preserve"> parti </w:t>
      </w:r>
      <w:r w:rsidRPr="00193AF4">
        <w:rPr>
          <w:b/>
          <w:bCs/>
        </w:rPr>
        <w:t>pou</w:t>
      </w:r>
      <w:r>
        <w:rPr>
          <w:b/>
          <w:bCs/>
        </w:rPr>
        <w:t>r</w:t>
      </w:r>
      <w:r w:rsidRPr="003A7942">
        <w:rPr>
          <w:rFonts w:cs="Calibri"/>
          <w:b/>
        </w:rPr>
        <w:t xml:space="preserve"> </w:t>
      </w:r>
      <w:r>
        <w:rPr>
          <w:rFonts w:cs="Calibri"/>
          <w:b/>
        </w:rPr>
        <w:t xml:space="preserve">faire </w:t>
      </w:r>
      <w:r w:rsidR="00951E89">
        <w:rPr>
          <w:b/>
          <w:bCs/>
        </w:rPr>
        <w:t xml:space="preserve">adopter les </w:t>
      </w:r>
      <w:r w:rsidR="00A92E6E">
        <w:rPr>
          <w:b/>
          <w:bCs/>
        </w:rPr>
        <w:t xml:space="preserve">29 </w:t>
      </w:r>
      <w:r w:rsidR="00951E89">
        <w:rPr>
          <w:b/>
          <w:bCs/>
        </w:rPr>
        <w:t>propositions</w:t>
      </w:r>
      <w:r w:rsidR="00A92E6E">
        <w:rPr>
          <w:b/>
          <w:bCs/>
        </w:rPr>
        <w:t xml:space="preserve"> </w:t>
      </w:r>
      <w:r w:rsidR="00D4290D">
        <w:rPr>
          <w:b/>
          <w:bCs/>
        </w:rPr>
        <w:t xml:space="preserve">de </w:t>
      </w:r>
      <w:r w:rsidR="00A0361A">
        <w:rPr>
          <w:b/>
          <w:bCs/>
        </w:rPr>
        <w:t>« </w:t>
      </w:r>
      <w:r w:rsidR="00D4290D">
        <w:rPr>
          <w:b/>
          <w:bCs/>
        </w:rPr>
        <w:t>Lobby : Halte aux dérapages?</w:t>
      </w:r>
      <w:r w:rsidR="00A0361A">
        <w:rPr>
          <w:b/>
          <w:bCs/>
        </w:rPr>
        <w:t> »</w:t>
      </w:r>
      <w:r w:rsidR="00D4290D">
        <w:rPr>
          <w:b/>
          <w:bCs/>
        </w:rPr>
        <w:t xml:space="preserve"> </w:t>
      </w:r>
    </w:p>
    <w:p w14:paraId="3D8BEA3B" w14:textId="349F56EA" w:rsidR="00F91DE6" w:rsidRDefault="00F91DE6" w:rsidP="002C0F2B">
      <w:p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b/>
          <w:bCs/>
        </w:rPr>
      </w:pPr>
    </w:p>
    <w:p w14:paraId="7E395765" w14:textId="77777777" w:rsidR="00637D0C" w:rsidRDefault="00637D0C" w:rsidP="002C0F2B">
      <w:p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  <w:rPr>
          <w:b/>
          <w:bCs/>
        </w:rPr>
      </w:pPr>
    </w:p>
    <w:p w14:paraId="6DCC3227" w14:textId="64875AD3" w:rsidR="00637D0C" w:rsidRPr="000D07B4" w:rsidRDefault="00637D0C" w:rsidP="002C0F2B">
      <w:pPr>
        <w:pBdr>
          <w:top w:val="nil"/>
          <w:left w:val="nil"/>
          <w:bottom w:val="nil"/>
          <w:right w:val="nil"/>
          <w:between w:val="nil"/>
        </w:pBdr>
        <w:spacing w:after="0"/>
        <w:ind w:left="-142" w:right="-291"/>
        <w:jc w:val="both"/>
      </w:pPr>
    </w:p>
    <w:sectPr w:rsidR="00637D0C" w:rsidRPr="000D07B4" w:rsidSect="002C0F2B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2240" w:h="15840"/>
      <w:pgMar w:top="1418" w:right="1800" w:bottom="1440" w:left="1800" w:header="67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5286C" w14:textId="77777777" w:rsidR="00130990" w:rsidRDefault="00130990" w:rsidP="00C5008B">
      <w:pPr>
        <w:spacing w:after="0" w:line="240" w:lineRule="auto"/>
      </w:pPr>
      <w:r>
        <w:separator/>
      </w:r>
    </w:p>
  </w:endnote>
  <w:endnote w:type="continuationSeparator" w:id="0">
    <w:p w14:paraId="0D821320" w14:textId="77777777" w:rsidR="00130990" w:rsidRDefault="00130990" w:rsidP="00C5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F7D84" w14:textId="77777777" w:rsidR="00B5122E" w:rsidRDefault="00B5122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F09D7" w14:textId="77777777" w:rsidR="00B5122E" w:rsidRDefault="00B5122E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A4B7B" w14:textId="3DC9BF15" w:rsidR="00512425" w:rsidRDefault="00512425">
    <w:pPr>
      <w:pStyle w:val="Pieddepage"/>
    </w:pPr>
    <w:r>
      <w:rPr>
        <w:noProof/>
        <w14:ligatures w14:val="standardContextual"/>
      </w:rPr>
      <w:drawing>
        <wp:anchor distT="0" distB="0" distL="114300" distR="114300" simplePos="0" relativeHeight="251665408" behindDoc="1" locked="0" layoutInCell="1" allowOverlap="1" wp14:anchorId="20DA446C" wp14:editId="1054876B">
          <wp:simplePos x="0" y="0"/>
          <wp:positionH relativeFrom="margin">
            <wp:posOffset>3247390</wp:posOffset>
          </wp:positionH>
          <wp:positionV relativeFrom="paragraph">
            <wp:posOffset>-1717960</wp:posOffset>
          </wp:positionV>
          <wp:extent cx="2527300" cy="1325880"/>
          <wp:effectExtent l="0" t="0" r="6350" b="7620"/>
          <wp:wrapSquare wrapText="bothSides"/>
          <wp:docPr id="626176768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5398785" name="Image 183539878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7300" cy="1325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BE617" w14:textId="77777777" w:rsidR="00130990" w:rsidRDefault="00130990" w:rsidP="00C5008B">
      <w:pPr>
        <w:spacing w:after="0" w:line="240" w:lineRule="auto"/>
      </w:pPr>
      <w:r>
        <w:separator/>
      </w:r>
    </w:p>
  </w:footnote>
  <w:footnote w:type="continuationSeparator" w:id="0">
    <w:p w14:paraId="7A3E9772" w14:textId="77777777" w:rsidR="00130990" w:rsidRDefault="00130990" w:rsidP="00C50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4549C" w14:textId="77777777" w:rsidR="00B5122E" w:rsidRDefault="00B5122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4E436" w14:textId="3B7B7C77" w:rsidR="00C5008B" w:rsidRDefault="002C0F2B" w:rsidP="00683903">
    <w:pPr>
      <w:jc w:val="right"/>
    </w:pPr>
    <w:r>
      <w:rPr>
        <w:noProof/>
        <w14:ligatures w14:val="standardContextual"/>
      </w:rPr>
      <w:drawing>
        <wp:anchor distT="0" distB="0" distL="114300" distR="114300" simplePos="0" relativeHeight="251661312" behindDoc="1" locked="0" layoutInCell="1" allowOverlap="1" wp14:anchorId="0B62BFA5" wp14:editId="51A210D6">
          <wp:simplePos x="0" y="0"/>
          <wp:positionH relativeFrom="column">
            <wp:posOffset>-388882</wp:posOffset>
          </wp:positionH>
          <wp:positionV relativeFrom="paragraph">
            <wp:posOffset>-465718</wp:posOffset>
          </wp:positionV>
          <wp:extent cx="2827020" cy="1483995"/>
          <wp:effectExtent l="0" t="0" r="0" b="1905"/>
          <wp:wrapTopAndBottom/>
          <wp:docPr id="1677245775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5398785" name="Image 18353987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27020" cy="1483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5008B"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3F990F9F" wp14:editId="34BFC1D3">
          <wp:simplePos x="0" y="0"/>
          <wp:positionH relativeFrom="column">
            <wp:posOffset>4595648</wp:posOffset>
          </wp:positionH>
          <wp:positionV relativeFrom="paragraph">
            <wp:posOffset>-484439</wp:posOffset>
          </wp:positionV>
          <wp:extent cx="1343660" cy="1343660"/>
          <wp:effectExtent l="0" t="0" r="8890" b="0"/>
          <wp:wrapTopAndBottom/>
          <wp:docPr id="1027348730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0337240" name="Image 113033724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660" cy="1343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418AA" w14:textId="79C96237" w:rsidR="00512425" w:rsidRDefault="00512425">
    <w:pPr>
      <w:pStyle w:val="En-tte"/>
    </w:pPr>
    <w:r>
      <w:rPr>
        <w:noProof/>
        <w14:ligatures w14:val="standardContextual"/>
      </w:rPr>
      <w:drawing>
        <wp:anchor distT="0" distB="0" distL="114300" distR="114300" simplePos="0" relativeHeight="251663360" behindDoc="1" locked="0" layoutInCell="1" allowOverlap="1" wp14:anchorId="618DFC00" wp14:editId="1E00F900">
          <wp:simplePos x="0" y="0"/>
          <wp:positionH relativeFrom="margin">
            <wp:posOffset>-42042</wp:posOffset>
          </wp:positionH>
          <wp:positionV relativeFrom="paragraph">
            <wp:posOffset>-210097</wp:posOffset>
          </wp:positionV>
          <wp:extent cx="1343660" cy="1343660"/>
          <wp:effectExtent l="0" t="0" r="8890" b="0"/>
          <wp:wrapTopAndBottom/>
          <wp:docPr id="41313956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0337240" name="Image 11303372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660" cy="1343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93114"/>
    <w:multiLevelType w:val="hybridMultilevel"/>
    <w:tmpl w:val="109EF8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172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256"/>
    <w:rsid w:val="00006C02"/>
    <w:rsid w:val="00026202"/>
    <w:rsid w:val="00026FED"/>
    <w:rsid w:val="000447DB"/>
    <w:rsid w:val="000506DD"/>
    <w:rsid w:val="00051248"/>
    <w:rsid w:val="00054C06"/>
    <w:rsid w:val="00057C0A"/>
    <w:rsid w:val="0006355C"/>
    <w:rsid w:val="00080C3F"/>
    <w:rsid w:val="00086AB2"/>
    <w:rsid w:val="000907FD"/>
    <w:rsid w:val="00094529"/>
    <w:rsid w:val="00095549"/>
    <w:rsid w:val="000A68EA"/>
    <w:rsid w:val="000B167B"/>
    <w:rsid w:val="000B1E7C"/>
    <w:rsid w:val="000C1715"/>
    <w:rsid w:val="000C3891"/>
    <w:rsid w:val="000C7909"/>
    <w:rsid w:val="000D07B4"/>
    <w:rsid w:val="000D1463"/>
    <w:rsid w:val="000D3029"/>
    <w:rsid w:val="000D4696"/>
    <w:rsid w:val="000E6C5C"/>
    <w:rsid w:val="000E70DB"/>
    <w:rsid w:val="000E773E"/>
    <w:rsid w:val="00104E07"/>
    <w:rsid w:val="001064CD"/>
    <w:rsid w:val="00111F56"/>
    <w:rsid w:val="0012248C"/>
    <w:rsid w:val="001265A7"/>
    <w:rsid w:val="00130990"/>
    <w:rsid w:val="001401D5"/>
    <w:rsid w:val="001432F0"/>
    <w:rsid w:val="00147FE9"/>
    <w:rsid w:val="00156CB9"/>
    <w:rsid w:val="0016107F"/>
    <w:rsid w:val="00171813"/>
    <w:rsid w:val="001834ED"/>
    <w:rsid w:val="00187A40"/>
    <w:rsid w:val="00192023"/>
    <w:rsid w:val="001953A7"/>
    <w:rsid w:val="00196D32"/>
    <w:rsid w:val="001B008A"/>
    <w:rsid w:val="001B35AC"/>
    <w:rsid w:val="001B39EA"/>
    <w:rsid w:val="001B5F6A"/>
    <w:rsid w:val="001C071A"/>
    <w:rsid w:val="00204D4D"/>
    <w:rsid w:val="002054FD"/>
    <w:rsid w:val="002077A9"/>
    <w:rsid w:val="0021662E"/>
    <w:rsid w:val="00225F00"/>
    <w:rsid w:val="002408D8"/>
    <w:rsid w:val="00246ED7"/>
    <w:rsid w:val="00247195"/>
    <w:rsid w:val="0025563A"/>
    <w:rsid w:val="00256EB4"/>
    <w:rsid w:val="0027722B"/>
    <w:rsid w:val="00280C74"/>
    <w:rsid w:val="00292986"/>
    <w:rsid w:val="00293351"/>
    <w:rsid w:val="002A059E"/>
    <w:rsid w:val="002A13ED"/>
    <w:rsid w:val="002A3A84"/>
    <w:rsid w:val="002C0F2B"/>
    <w:rsid w:val="002C2C3F"/>
    <w:rsid w:val="002C45D5"/>
    <w:rsid w:val="002D47A1"/>
    <w:rsid w:val="002D564C"/>
    <w:rsid w:val="002D5E04"/>
    <w:rsid w:val="002D7F20"/>
    <w:rsid w:val="002E2C00"/>
    <w:rsid w:val="00302524"/>
    <w:rsid w:val="003108EC"/>
    <w:rsid w:val="00325D40"/>
    <w:rsid w:val="00331A84"/>
    <w:rsid w:val="0034316B"/>
    <w:rsid w:val="0035094A"/>
    <w:rsid w:val="003533D0"/>
    <w:rsid w:val="0036027B"/>
    <w:rsid w:val="003636C2"/>
    <w:rsid w:val="00363B37"/>
    <w:rsid w:val="0037552C"/>
    <w:rsid w:val="00385ABD"/>
    <w:rsid w:val="00391FE6"/>
    <w:rsid w:val="003A1D5A"/>
    <w:rsid w:val="003A2D1C"/>
    <w:rsid w:val="003A7942"/>
    <w:rsid w:val="003B0DDC"/>
    <w:rsid w:val="003B2393"/>
    <w:rsid w:val="003B5262"/>
    <w:rsid w:val="003B74E0"/>
    <w:rsid w:val="003C35E3"/>
    <w:rsid w:val="003D0A70"/>
    <w:rsid w:val="003D1F79"/>
    <w:rsid w:val="003D7CBA"/>
    <w:rsid w:val="003E233F"/>
    <w:rsid w:val="003F0E8A"/>
    <w:rsid w:val="003F3305"/>
    <w:rsid w:val="003F5239"/>
    <w:rsid w:val="003F6C5B"/>
    <w:rsid w:val="00406F4B"/>
    <w:rsid w:val="00407FE5"/>
    <w:rsid w:val="004107AD"/>
    <w:rsid w:val="004108E4"/>
    <w:rsid w:val="00426F82"/>
    <w:rsid w:val="004276EB"/>
    <w:rsid w:val="00432810"/>
    <w:rsid w:val="00437719"/>
    <w:rsid w:val="004443A7"/>
    <w:rsid w:val="004446EE"/>
    <w:rsid w:val="004507BE"/>
    <w:rsid w:val="0045177B"/>
    <w:rsid w:val="00463551"/>
    <w:rsid w:val="00477E53"/>
    <w:rsid w:val="00482A2D"/>
    <w:rsid w:val="00485E8F"/>
    <w:rsid w:val="00486503"/>
    <w:rsid w:val="00490B40"/>
    <w:rsid w:val="0049129E"/>
    <w:rsid w:val="00493417"/>
    <w:rsid w:val="00494D93"/>
    <w:rsid w:val="004A2CE3"/>
    <w:rsid w:val="004B15E5"/>
    <w:rsid w:val="004C45E6"/>
    <w:rsid w:val="004D6A3E"/>
    <w:rsid w:val="004E254A"/>
    <w:rsid w:val="004F04E0"/>
    <w:rsid w:val="004F545C"/>
    <w:rsid w:val="0050023C"/>
    <w:rsid w:val="005027F7"/>
    <w:rsid w:val="00512425"/>
    <w:rsid w:val="00513694"/>
    <w:rsid w:val="0052342C"/>
    <w:rsid w:val="00555E64"/>
    <w:rsid w:val="00556B92"/>
    <w:rsid w:val="00560F90"/>
    <w:rsid w:val="005623C6"/>
    <w:rsid w:val="00565C6C"/>
    <w:rsid w:val="00570C79"/>
    <w:rsid w:val="00571B3F"/>
    <w:rsid w:val="005759AB"/>
    <w:rsid w:val="00576ADC"/>
    <w:rsid w:val="00581D80"/>
    <w:rsid w:val="00583595"/>
    <w:rsid w:val="005837E2"/>
    <w:rsid w:val="00584E85"/>
    <w:rsid w:val="00592563"/>
    <w:rsid w:val="005A4297"/>
    <w:rsid w:val="005A7CB5"/>
    <w:rsid w:val="005E10D6"/>
    <w:rsid w:val="005E1AEE"/>
    <w:rsid w:val="005E44A5"/>
    <w:rsid w:val="005F5256"/>
    <w:rsid w:val="006001C6"/>
    <w:rsid w:val="0061169D"/>
    <w:rsid w:val="006133C5"/>
    <w:rsid w:val="00615FB9"/>
    <w:rsid w:val="006171C7"/>
    <w:rsid w:val="0063010C"/>
    <w:rsid w:val="00637D0C"/>
    <w:rsid w:val="00647103"/>
    <w:rsid w:val="006570AF"/>
    <w:rsid w:val="00667A5A"/>
    <w:rsid w:val="00671811"/>
    <w:rsid w:val="006813A8"/>
    <w:rsid w:val="00683903"/>
    <w:rsid w:val="00690DCC"/>
    <w:rsid w:val="0069413C"/>
    <w:rsid w:val="006B3B2A"/>
    <w:rsid w:val="006D443E"/>
    <w:rsid w:val="006D53A1"/>
    <w:rsid w:val="006D5F08"/>
    <w:rsid w:val="006D7576"/>
    <w:rsid w:val="006E4D98"/>
    <w:rsid w:val="006E659F"/>
    <w:rsid w:val="006F1F92"/>
    <w:rsid w:val="0070019A"/>
    <w:rsid w:val="0070361E"/>
    <w:rsid w:val="00712FB0"/>
    <w:rsid w:val="00717201"/>
    <w:rsid w:val="00721540"/>
    <w:rsid w:val="00722CBC"/>
    <w:rsid w:val="00726229"/>
    <w:rsid w:val="00734836"/>
    <w:rsid w:val="00735BC0"/>
    <w:rsid w:val="00764822"/>
    <w:rsid w:val="007649D9"/>
    <w:rsid w:val="0076614F"/>
    <w:rsid w:val="0077060D"/>
    <w:rsid w:val="00782449"/>
    <w:rsid w:val="00797C89"/>
    <w:rsid w:val="007A4EC3"/>
    <w:rsid w:val="007B4E4F"/>
    <w:rsid w:val="007C1BBC"/>
    <w:rsid w:val="007D00D7"/>
    <w:rsid w:val="007E1D82"/>
    <w:rsid w:val="007E4DEF"/>
    <w:rsid w:val="007E50A3"/>
    <w:rsid w:val="008005C2"/>
    <w:rsid w:val="0080198A"/>
    <w:rsid w:val="00820304"/>
    <w:rsid w:val="00851799"/>
    <w:rsid w:val="008533F5"/>
    <w:rsid w:val="008536FF"/>
    <w:rsid w:val="00857046"/>
    <w:rsid w:val="00861D7D"/>
    <w:rsid w:val="008647EF"/>
    <w:rsid w:val="00864AFE"/>
    <w:rsid w:val="008756B8"/>
    <w:rsid w:val="0088240D"/>
    <w:rsid w:val="0088400E"/>
    <w:rsid w:val="0088539F"/>
    <w:rsid w:val="00891355"/>
    <w:rsid w:val="00893570"/>
    <w:rsid w:val="00896AF9"/>
    <w:rsid w:val="008B348F"/>
    <w:rsid w:val="008C4ADC"/>
    <w:rsid w:val="008C7649"/>
    <w:rsid w:val="008D24EB"/>
    <w:rsid w:val="008F522D"/>
    <w:rsid w:val="0090166D"/>
    <w:rsid w:val="009041AD"/>
    <w:rsid w:val="00924C39"/>
    <w:rsid w:val="00935ADE"/>
    <w:rsid w:val="00935F12"/>
    <w:rsid w:val="009448C8"/>
    <w:rsid w:val="00944AE2"/>
    <w:rsid w:val="0094717A"/>
    <w:rsid w:val="00951E89"/>
    <w:rsid w:val="00961D9D"/>
    <w:rsid w:val="00964846"/>
    <w:rsid w:val="00973C47"/>
    <w:rsid w:val="009804EE"/>
    <w:rsid w:val="009839C5"/>
    <w:rsid w:val="00992BBA"/>
    <w:rsid w:val="009933E0"/>
    <w:rsid w:val="00993BB5"/>
    <w:rsid w:val="009A0E5A"/>
    <w:rsid w:val="009C4374"/>
    <w:rsid w:val="009D14E1"/>
    <w:rsid w:val="009D27C2"/>
    <w:rsid w:val="009D734F"/>
    <w:rsid w:val="009D79F9"/>
    <w:rsid w:val="009E372B"/>
    <w:rsid w:val="009F35B7"/>
    <w:rsid w:val="00A004DF"/>
    <w:rsid w:val="00A00F19"/>
    <w:rsid w:val="00A0361A"/>
    <w:rsid w:val="00A04AA3"/>
    <w:rsid w:val="00A07D9F"/>
    <w:rsid w:val="00A11ED5"/>
    <w:rsid w:val="00A12A97"/>
    <w:rsid w:val="00A170B8"/>
    <w:rsid w:val="00A20277"/>
    <w:rsid w:val="00A26933"/>
    <w:rsid w:val="00A33218"/>
    <w:rsid w:val="00A37C2F"/>
    <w:rsid w:val="00A570C2"/>
    <w:rsid w:val="00A7082D"/>
    <w:rsid w:val="00A92E6E"/>
    <w:rsid w:val="00A95068"/>
    <w:rsid w:val="00AB6E10"/>
    <w:rsid w:val="00AB7A0A"/>
    <w:rsid w:val="00AC0312"/>
    <w:rsid w:val="00AC21A7"/>
    <w:rsid w:val="00AE2FF3"/>
    <w:rsid w:val="00AF44F9"/>
    <w:rsid w:val="00AF6FD6"/>
    <w:rsid w:val="00B22D26"/>
    <w:rsid w:val="00B25442"/>
    <w:rsid w:val="00B5122E"/>
    <w:rsid w:val="00B52D58"/>
    <w:rsid w:val="00B5772C"/>
    <w:rsid w:val="00B66360"/>
    <w:rsid w:val="00B663B4"/>
    <w:rsid w:val="00B67D45"/>
    <w:rsid w:val="00B740D4"/>
    <w:rsid w:val="00B75FB2"/>
    <w:rsid w:val="00B7797A"/>
    <w:rsid w:val="00B85BD8"/>
    <w:rsid w:val="00B935C5"/>
    <w:rsid w:val="00B972E4"/>
    <w:rsid w:val="00BA2C6D"/>
    <w:rsid w:val="00BA4B34"/>
    <w:rsid w:val="00BA61C8"/>
    <w:rsid w:val="00BA6469"/>
    <w:rsid w:val="00BA7123"/>
    <w:rsid w:val="00BB007F"/>
    <w:rsid w:val="00BC271F"/>
    <w:rsid w:val="00BC2B48"/>
    <w:rsid w:val="00BC5C11"/>
    <w:rsid w:val="00BD31E1"/>
    <w:rsid w:val="00BD50EC"/>
    <w:rsid w:val="00BD7E37"/>
    <w:rsid w:val="00BE5E1F"/>
    <w:rsid w:val="00C00606"/>
    <w:rsid w:val="00C02F43"/>
    <w:rsid w:val="00C03B63"/>
    <w:rsid w:val="00C1492D"/>
    <w:rsid w:val="00C2070B"/>
    <w:rsid w:val="00C26F94"/>
    <w:rsid w:val="00C31372"/>
    <w:rsid w:val="00C41475"/>
    <w:rsid w:val="00C429A7"/>
    <w:rsid w:val="00C5008B"/>
    <w:rsid w:val="00C52C51"/>
    <w:rsid w:val="00C5662E"/>
    <w:rsid w:val="00C7004E"/>
    <w:rsid w:val="00C70960"/>
    <w:rsid w:val="00C7690F"/>
    <w:rsid w:val="00C925AE"/>
    <w:rsid w:val="00C92817"/>
    <w:rsid w:val="00C9281E"/>
    <w:rsid w:val="00CA2777"/>
    <w:rsid w:val="00CA3E94"/>
    <w:rsid w:val="00CA7594"/>
    <w:rsid w:val="00CB1646"/>
    <w:rsid w:val="00CB2602"/>
    <w:rsid w:val="00CB4D10"/>
    <w:rsid w:val="00CB6AEF"/>
    <w:rsid w:val="00CB7C9F"/>
    <w:rsid w:val="00CD0DCD"/>
    <w:rsid w:val="00CD43BD"/>
    <w:rsid w:val="00CD5B44"/>
    <w:rsid w:val="00CF6398"/>
    <w:rsid w:val="00D14BB6"/>
    <w:rsid w:val="00D20186"/>
    <w:rsid w:val="00D26F80"/>
    <w:rsid w:val="00D3398C"/>
    <w:rsid w:val="00D4290D"/>
    <w:rsid w:val="00D45F54"/>
    <w:rsid w:val="00DA1260"/>
    <w:rsid w:val="00DA2235"/>
    <w:rsid w:val="00DA74B6"/>
    <w:rsid w:val="00DB3520"/>
    <w:rsid w:val="00DC6F2E"/>
    <w:rsid w:val="00DD359C"/>
    <w:rsid w:val="00DD435C"/>
    <w:rsid w:val="00DE14AA"/>
    <w:rsid w:val="00DE20DB"/>
    <w:rsid w:val="00DE5AD5"/>
    <w:rsid w:val="00E0074C"/>
    <w:rsid w:val="00E0229F"/>
    <w:rsid w:val="00E10E08"/>
    <w:rsid w:val="00E22980"/>
    <w:rsid w:val="00E31EC1"/>
    <w:rsid w:val="00E37186"/>
    <w:rsid w:val="00E37335"/>
    <w:rsid w:val="00E5411C"/>
    <w:rsid w:val="00E6313E"/>
    <w:rsid w:val="00E6548A"/>
    <w:rsid w:val="00E74E68"/>
    <w:rsid w:val="00E7579E"/>
    <w:rsid w:val="00E822D9"/>
    <w:rsid w:val="00E957FE"/>
    <w:rsid w:val="00EB1B11"/>
    <w:rsid w:val="00EC7A11"/>
    <w:rsid w:val="00EE08DE"/>
    <w:rsid w:val="00EF01DD"/>
    <w:rsid w:val="00EF4F63"/>
    <w:rsid w:val="00EF5DE5"/>
    <w:rsid w:val="00F0420B"/>
    <w:rsid w:val="00F07E15"/>
    <w:rsid w:val="00F10C58"/>
    <w:rsid w:val="00F110C5"/>
    <w:rsid w:val="00F11BD4"/>
    <w:rsid w:val="00F16181"/>
    <w:rsid w:val="00F20346"/>
    <w:rsid w:val="00F20F93"/>
    <w:rsid w:val="00F23182"/>
    <w:rsid w:val="00F263D7"/>
    <w:rsid w:val="00F3257A"/>
    <w:rsid w:val="00F37AAA"/>
    <w:rsid w:val="00F54FD6"/>
    <w:rsid w:val="00F55B90"/>
    <w:rsid w:val="00F55BD0"/>
    <w:rsid w:val="00F60B00"/>
    <w:rsid w:val="00F6374B"/>
    <w:rsid w:val="00F65047"/>
    <w:rsid w:val="00F65C9A"/>
    <w:rsid w:val="00F82A0F"/>
    <w:rsid w:val="00F855D9"/>
    <w:rsid w:val="00F91DE6"/>
    <w:rsid w:val="00F9458A"/>
    <w:rsid w:val="00F96AB4"/>
    <w:rsid w:val="00FA0B84"/>
    <w:rsid w:val="00FA4471"/>
    <w:rsid w:val="00FB4F10"/>
    <w:rsid w:val="00FC42E1"/>
    <w:rsid w:val="00FC6E52"/>
    <w:rsid w:val="00FD37BA"/>
    <w:rsid w:val="00FD4B61"/>
    <w:rsid w:val="00FF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F2938"/>
  <w15:chartTrackingRefBased/>
  <w15:docId w15:val="{53CBFF1F-410D-4A6E-A7D1-5B74B1607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rsid w:val="00AF6FD6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eastAsia="fr-CA"/>
      <w14:ligatures w14:val="none"/>
    </w:rPr>
  </w:style>
  <w:style w:type="paragraph" w:styleId="Titre1">
    <w:name w:val="heading 1"/>
    <w:basedOn w:val="Normal"/>
    <w:next w:val="Normal"/>
    <w:uiPriority w:val="9"/>
    <w:qFormat/>
    <w:rsid w:val="005F52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rsid w:val="005F52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rsid w:val="005F52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rsid w:val="005F52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uiPriority w:val="9"/>
    <w:semiHidden/>
    <w:unhideWhenUsed/>
    <w:qFormat/>
    <w:rsid w:val="005F52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uiPriority w:val="9"/>
    <w:semiHidden/>
    <w:unhideWhenUsed/>
    <w:qFormat/>
    <w:rsid w:val="005F52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uiPriority w:val="9"/>
    <w:semiHidden/>
    <w:unhideWhenUsed/>
    <w:qFormat/>
    <w:rsid w:val="005F52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uiPriority w:val="9"/>
    <w:semiHidden/>
    <w:unhideWhenUsed/>
    <w:qFormat/>
    <w:rsid w:val="005F52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uiPriority w:val="9"/>
    <w:semiHidden/>
    <w:unhideWhenUsed/>
    <w:qFormat/>
    <w:rsid w:val="005F52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93B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5008B"/>
    <w:rPr>
      <w:rFonts w:ascii="Calibri" w:eastAsia="Calibri" w:hAnsi="Calibri" w:cs="Times New Roman"/>
      <w:kern w:val="0"/>
      <w:sz w:val="22"/>
      <w:szCs w:val="22"/>
      <w:lang w:eastAsia="fr-CA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993B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5008B"/>
    <w:rPr>
      <w:rFonts w:ascii="Calibri" w:eastAsia="Calibri" w:hAnsi="Calibri" w:cs="Times New Roman"/>
      <w:kern w:val="0"/>
      <w:sz w:val="22"/>
      <w:szCs w:val="22"/>
      <w:lang w:eastAsia="fr-CA"/>
      <w14:ligatures w14:val="none"/>
    </w:rPr>
  </w:style>
  <w:style w:type="paragraph" w:styleId="Rvision">
    <w:name w:val="Revision"/>
    <w:hidden/>
    <w:uiPriority w:val="99"/>
    <w:semiHidden/>
    <w:rsid w:val="00EB1B11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fr-CA"/>
      <w14:ligatures w14:val="none"/>
    </w:rPr>
  </w:style>
  <w:style w:type="character" w:styleId="Mentionnonrsolue">
    <w:name w:val="Unresolved Mention"/>
    <w:basedOn w:val="Policepardfaut"/>
    <w:uiPriority w:val="99"/>
    <w:semiHidden/>
    <w:unhideWhenUsed/>
    <w:rsid w:val="00EB1B11"/>
    <w:rPr>
      <w:color w:val="605E5C"/>
      <w:shd w:val="clear" w:color="auto" w:fill="E1DFDD"/>
    </w:rPr>
  </w:style>
  <w:style w:type="table" w:customStyle="1" w:styleId="TableNormal2">
    <w:name w:val="Table Normal2"/>
    <w:uiPriority w:val="99"/>
    <w:semiHidden/>
    <w:unhideWhenUsed/>
    <w:rsid w:val="005E10D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unhideWhenUsed/>
    <w:rsid w:val="005E10D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Policepardfaut"/>
    <w:uiPriority w:val="99"/>
    <w:rsid w:val="005E10D6"/>
    <w:rPr>
      <w:rFonts w:ascii="Calibri" w:eastAsia="Calibri" w:hAnsi="Calibri" w:cs="Times New Roman"/>
      <w:kern w:val="0"/>
      <w:sz w:val="22"/>
      <w:szCs w:val="22"/>
      <w:lang w:eastAsia="fr-CA"/>
      <w14:ligatures w14:val="none"/>
    </w:rPr>
  </w:style>
  <w:style w:type="character" w:customStyle="1" w:styleId="CommentReference1">
    <w:name w:val="Comment Reference1"/>
    <w:basedOn w:val="Policepardfaut"/>
    <w:uiPriority w:val="99"/>
    <w:semiHidden/>
    <w:unhideWhenUsed/>
    <w:rsid w:val="005E10D6"/>
    <w:rPr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F525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F5256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F5256"/>
    <w:rPr>
      <w:b/>
      <w:bCs/>
      <w:smallCaps/>
      <w:color w:val="0F4761" w:themeColor="accent1" w:themeShade="BF"/>
      <w:spacing w:val="5"/>
    </w:rPr>
  </w:style>
  <w:style w:type="character" w:styleId="Hyperlien">
    <w:name w:val="Hyperlink"/>
    <w:basedOn w:val="Policepardfaut"/>
    <w:uiPriority w:val="99"/>
    <w:unhideWhenUsed/>
    <w:rsid w:val="00A33218"/>
    <w:rPr>
      <w:color w:val="467886" w:themeColor="hyperlink"/>
      <w:u w:val="single"/>
    </w:rPr>
  </w:style>
  <w:style w:type="character" w:customStyle="1" w:styleId="Titre1Car">
    <w:name w:val="Titre 1 Car"/>
    <w:basedOn w:val="Policepardfaut"/>
    <w:uiPriority w:val="9"/>
    <w:rsid w:val="009E37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uiPriority w:val="9"/>
    <w:semiHidden/>
    <w:rsid w:val="009E37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uiPriority w:val="9"/>
    <w:semiHidden/>
    <w:rsid w:val="009E37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uiPriority w:val="9"/>
    <w:semiHidden/>
    <w:rsid w:val="009E372B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uiPriority w:val="9"/>
    <w:semiHidden/>
    <w:rsid w:val="009E372B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uiPriority w:val="9"/>
    <w:semiHidden/>
    <w:rsid w:val="009E372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uiPriority w:val="9"/>
    <w:semiHidden/>
    <w:rsid w:val="009E372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uiPriority w:val="9"/>
    <w:semiHidden/>
    <w:rsid w:val="009E372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uiPriority w:val="9"/>
    <w:semiHidden/>
    <w:rsid w:val="009E372B"/>
    <w:rPr>
      <w:rFonts w:eastAsiaTheme="majorEastAsia" w:cstheme="majorBidi"/>
      <w:color w:val="272727" w:themeColor="text1" w:themeTint="D8"/>
    </w:rPr>
  </w:style>
  <w:style w:type="character" w:customStyle="1" w:styleId="TitreCar">
    <w:name w:val="Titre Car"/>
    <w:basedOn w:val="Policepardfaut"/>
    <w:uiPriority w:val="10"/>
    <w:rsid w:val="009E3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ous-titreCar">
    <w:name w:val="Sous-titre Car"/>
    <w:basedOn w:val="Policepardfaut"/>
    <w:uiPriority w:val="11"/>
    <w:rsid w:val="009E3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tionCar">
    <w:name w:val="Citation Car"/>
    <w:basedOn w:val="Policepardfaut"/>
    <w:uiPriority w:val="29"/>
    <w:rsid w:val="009E372B"/>
    <w:rPr>
      <w:i/>
      <w:iCs/>
      <w:color w:val="404040" w:themeColor="text1" w:themeTint="BF"/>
    </w:rPr>
  </w:style>
  <w:style w:type="character" w:customStyle="1" w:styleId="CitationintenseCar">
    <w:name w:val="Citation intense Car"/>
    <w:basedOn w:val="Policepardfaut"/>
    <w:uiPriority w:val="30"/>
    <w:rsid w:val="009E372B"/>
    <w:rPr>
      <w:i/>
      <w:iCs/>
      <w:color w:val="0F4761" w:themeColor="accent1" w:themeShade="BF"/>
    </w:rPr>
  </w:style>
  <w:style w:type="character" w:customStyle="1" w:styleId="CommentaireCar">
    <w:name w:val="Commentaire Car"/>
    <w:basedOn w:val="Policepardfaut"/>
    <w:uiPriority w:val="99"/>
    <w:rsid w:val="009E372B"/>
    <w:rPr>
      <w:rFonts w:ascii="Calibri" w:eastAsia="Calibri" w:hAnsi="Calibri" w:cs="Times New Roman"/>
      <w:kern w:val="0"/>
      <w:sz w:val="20"/>
      <w:szCs w:val="20"/>
      <w:lang w:eastAsia="fr-CA"/>
      <w14:ligatures w14:val="none"/>
    </w:rPr>
  </w:style>
  <w:style w:type="character" w:customStyle="1" w:styleId="Hyperlink">
    <w:name w:val="Hyperlink"/>
    <w:basedOn w:val="Policepardfaut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rpocb.org/wp-content/uploads/2015/11/CampagneLobby2015_03_16Signaturesweb.doc" TargetMode="External"/><Relationship Id="rId18" Type="http://schemas.openxmlformats.org/officeDocument/2006/relationships/hyperlink" Target="https://trpocb.org/campagnes/lobby/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trpocb.org/campagnes/lobby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trpocb.org/wp-content/uploads/2015/11/CampagneLobby2015_06_13PL56.pdf" TargetMode="External"/><Relationship Id="rId17" Type="http://schemas.openxmlformats.org/officeDocument/2006/relationships/hyperlink" Target="https://www.vigilanceogm.org/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quebec.attac.org/" TargetMode="External"/><Relationship Id="rId20" Type="http://schemas.openxmlformats.org/officeDocument/2006/relationships/hyperlink" Target="https://lobby-halte-aux-derapages.org/wp-content/uploads/2026/02/2026-Lobby-Propositions-halte-aux-derapages.pdf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rpocb.org/campagnes/lobby/reperesetactions/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trpocb.org/campagnes/lobby/archives-memoires-auditions-pl56/" TargetMode="External"/><Relationship Id="rId23" Type="http://schemas.openxmlformats.org/officeDocument/2006/relationships/hyperlink" Target="https://lobbyisme.quebec/wp-content/uploads/2026/05/20260521_Rapport-special-du-commissaire-au-lobbyisme-du-Quebec.pdf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trpocb.org/wp-content/uploads/2025/06/Reglement-relatif-au-champ-dapplication-de-la-Loi-lobbyismeT-11.011-R.-1-.pdf" TargetMode="External"/><Relationship Id="rId19" Type="http://schemas.openxmlformats.org/officeDocument/2006/relationships/hyperlink" Target="https://lobby-halte-aux-derapages.org/lobby-halte-aux-derapages-declaration/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rpocb.org/depot-dune-petition-de-8-500-signataires-a-lassemblee-nationale-les-osbl-des-lobbyistes-des-milliers/" TargetMode="External"/><Relationship Id="rId22" Type="http://schemas.openxmlformats.org/officeDocument/2006/relationships/hyperlink" Target="https://trpocb.org/lobby-affichons-levidence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97643D1D4D9347AA0297DEEA93E74E" ma:contentTypeVersion="13" ma:contentTypeDescription="Crée un document." ma:contentTypeScope="" ma:versionID="3abee19161b971dbd7df5afd8b88721a">
  <xsd:schema xmlns:xsd="http://www.w3.org/2001/XMLSchema" xmlns:xs="http://www.w3.org/2001/XMLSchema" xmlns:p="http://schemas.microsoft.com/office/2006/metadata/properties" xmlns:ns2="b8d4d84c-c491-445f-b2d2-27f1e9ddc196" xmlns:ns3="c55d25d2-0c3f-426a-83a4-d0cf64599e04" targetNamespace="http://schemas.microsoft.com/office/2006/metadata/properties" ma:root="true" ma:fieldsID="e1c47a706918947c195aae9b4d90f607" ns2:_="" ns3:_="">
    <xsd:import namespace="b8d4d84c-c491-445f-b2d2-27f1e9ddc196"/>
    <xsd:import namespace="c55d25d2-0c3f-426a-83a4-d0cf64599e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4d84c-c491-445f-b2d2-27f1e9ddc1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alises d’images" ma:readOnly="false" ma:fieldId="{5cf76f15-5ced-4ddc-b409-7134ff3c332f}" ma:taxonomyMulti="true" ma:sspId="176c04c2-454a-4991-89a7-9db4f6c93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d25d2-0c3f-426a-83a4-d0cf64599e0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6db6926-bcbb-4b27-808e-cbd9d13baafe}" ma:internalName="TaxCatchAll" ma:showField="CatchAllData" ma:web="c55d25d2-0c3f-426a-83a4-d0cf64599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55d25d2-0c3f-426a-83a4-d0cf64599e04" xsi:nil="true"/>
    <lcf76f155ced4ddcb4097134ff3c332f xmlns="b8d4d84c-c491-445f-b2d2-27f1e9ddc1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6E5E5A-C2A5-4927-98ED-54102B3E2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d4d84c-c491-445f-b2d2-27f1e9ddc196"/>
    <ds:schemaRef ds:uri="c55d25d2-0c3f-426a-83a4-d0cf64599e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D23637-DC03-4135-BDB1-8729E70988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225CDD-B15F-4813-B663-2E18B51F7FFB}">
  <ds:schemaRefs>
    <ds:schemaRef ds:uri="http://schemas.microsoft.com/office/2006/metadata/properties"/>
    <ds:schemaRef ds:uri="http://schemas.microsoft.com/office/infopath/2007/PartnerControls"/>
    <ds:schemaRef ds:uri="c55d25d2-0c3f-426a-83a4-d0cf64599e04"/>
    <ds:schemaRef ds:uri="b8d4d84c-c491-445f-b2d2-27f1e9ddc1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2</Pages>
  <Words>779</Words>
  <Characters>4008</Characters>
  <Application>Microsoft Office Word</Application>
  <DocSecurity>0</DocSecurity>
  <Lines>62</Lines>
  <Paragraphs>11</Paragraphs>
  <ScaleCrop>false</ScaleCrop>
  <Company/>
  <LinksUpToDate>false</LinksUpToDate>
  <CharactersWithSpaces>4776</CharactersWithSpaces>
  <SharedDoc>false</SharedDoc>
  <HLinks>
    <vt:vector size="78" baseType="variant">
      <vt:variant>
        <vt:i4>1835098</vt:i4>
      </vt:variant>
      <vt:variant>
        <vt:i4>36</vt:i4>
      </vt:variant>
      <vt:variant>
        <vt:i4>0</vt:i4>
      </vt:variant>
      <vt:variant>
        <vt:i4>5</vt:i4>
      </vt:variant>
      <vt:variant>
        <vt:lpwstr>https://trpocb.org/lobby-affichons-levidence/</vt:lpwstr>
      </vt:variant>
      <vt:variant>
        <vt:lpwstr/>
      </vt:variant>
      <vt:variant>
        <vt:i4>6488165</vt:i4>
      </vt:variant>
      <vt:variant>
        <vt:i4>33</vt:i4>
      </vt:variant>
      <vt:variant>
        <vt:i4>0</vt:i4>
      </vt:variant>
      <vt:variant>
        <vt:i4>5</vt:i4>
      </vt:variant>
      <vt:variant>
        <vt:lpwstr>https://trpocb.org/campagnes/lobby/</vt:lpwstr>
      </vt:variant>
      <vt:variant>
        <vt:lpwstr/>
      </vt:variant>
      <vt:variant>
        <vt:i4>5242896</vt:i4>
      </vt:variant>
      <vt:variant>
        <vt:i4>30</vt:i4>
      </vt:variant>
      <vt:variant>
        <vt:i4>0</vt:i4>
      </vt:variant>
      <vt:variant>
        <vt:i4>5</vt:i4>
      </vt:variant>
      <vt:variant>
        <vt:lpwstr>https://lobby-halte-aux-derapages.org/wp-content/uploads/2026/02/2026-Lobby-Propositions-halte-aux-derapages.pdf</vt:lpwstr>
      </vt:variant>
      <vt:variant>
        <vt:lpwstr/>
      </vt:variant>
      <vt:variant>
        <vt:i4>72</vt:i4>
      </vt:variant>
      <vt:variant>
        <vt:i4>27</vt:i4>
      </vt:variant>
      <vt:variant>
        <vt:i4>0</vt:i4>
      </vt:variant>
      <vt:variant>
        <vt:i4>5</vt:i4>
      </vt:variant>
      <vt:variant>
        <vt:lpwstr>https://lobby-halte-aux-derapages.org/lobby-halte-aux-derapages-declaration/</vt:lpwstr>
      </vt:variant>
      <vt:variant>
        <vt:lpwstr/>
      </vt:variant>
      <vt:variant>
        <vt:i4>6488165</vt:i4>
      </vt:variant>
      <vt:variant>
        <vt:i4>24</vt:i4>
      </vt:variant>
      <vt:variant>
        <vt:i4>0</vt:i4>
      </vt:variant>
      <vt:variant>
        <vt:i4>5</vt:i4>
      </vt:variant>
      <vt:variant>
        <vt:lpwstr>https://trpocb.org/campagnes/lobby/</vt:lpwstr>
      </vt:variant>
      <vt:variant>
        <vt:lpwstr/>
      </vt:variant>
      <vt:variant>
        <vt:i4>4194317</vt:i4>
      </vt:variant>
      <vt:variant>
        <vt:i4>21</vt:i4>
      </vt:variant>
      <vt:variant>
        <vt:i4>0</vt:i4>
      </vt:variant>
      <vt:variant>
        <vt:i4>5</vt:i4>
      </vt:variant>
      <vt:variant>
        <vt:lpwstr>https://www.vigilanceogm.org/</vt:lpwstr>
      </vt:variant>
      <vt:variant>
        <vt:lpwstr/>
      </vt:variant>
      <vt:variant>
        <vt:i4>1769558</vt:i4>
      </vt:variant>
      <vt:variant>
        <vt:i4>18</vt:i4>
      </vt:variant>
      <vt:variant>
        <vt:i4>0</vt:i4>
      </vt:variant>
      <vt:variant>
        <vt:i4>5</vt:i4>
      </vt:variant>
      <vt:variant>
        <vt:lpwstr>https://quebec.attac.org/</vt:lpwstr>
      </vt:variant>
      <vt:variant>
        <vt:lpwstr/>
      </vt:variant>
      <vt:variant>
        <vt:i4>4980760</vt:i4>
      </vt:variant>
      <vt:variant>
        <vt:i4>15</vt:i4>
      </vt:variant>
      <vt:variant>
        <vt:i4>0</vt:i4>
      </vt:variant>
      <vt:variant>
        <vt:i4>5</vt:i4>
      </vt:variant>
      <vt:variant>
        <vt:lpwstr>https://trpocb.org/campagnes/lobby/archives-memoires-auditions-pl56/</vt:lpwstr>
      </vt:variant>
      <vt:variant>
        <vt:lpwstr/>
      </vt:variant>
      <vt:variant>
        <vt:i4>1900637</vt:i4>
      </vt:variant>
      <vt:variant>
        <vt:i4>12</vt:i4>
      </vt:variant>
      <vt:variant>
        <vt:i4>0</vt:i4>
      </vt:variant>
      <vt:variant>
        <vt:i4>5</vt:i4>
      </vt:variant>
      <vt:variant>
        <vt:lpwstr>https://trpocb.org/depot-dune-petition-de-8-500-signataires-a-lassemblee-nationale-les-osbl-des-lobbyistes-des-milliers/</vt:lpwstr>
      </vt:variant>
      <vt:variant>
        <vt:lpwstr/>
      </vt:variant>
      <vt:variant>
        <vt:i4>1966162</vt:i4>
      </vt:variant>
      <vt:variant>
        <vt:i4>9</vt:i4>
      </vt:variant>
      <vt:variant>
        <vt:i4>0</vt:i4>
      </vt:variant>
      <vt:variant>
        <vt:i4>5</vt:i4>
      </vt:variant>
      <vt:variant>
        <vt:lpwstr>https://trpocb.org/wp-content/uploads/2015/11/CampagneLobby2015_03_16Signaturesweb.doc</vt:lpwstr>
      </vt:variant>
      <vt:variant>
        <vt:lpwstr/>
      </vt:variant>
      <vt:variant>
        <vt:i4>6488107</vt:i4>
      </vt:variant>
      <vt:variant>
        <vt:i4>6</vt:i4>
      </vt:variant>
      <vt:variant>
        <vt:i4>0</vt:i4>
      </vt:variant>
      <vt:variant>
        <vt:i4>5</vt:i4>
      </vt:variant>
      <vt:variant>
        <vt:lpwstr>https://trpocb.org/wp-content/uploads/2015/11/CampagneLobby2015_06_13PL56.pdf</vt:lpwstr>
      </vt:variant>
      <vt:variant>
        <vt:lpwstr/>
      </vt:variant>
      <vt:variant>
        <vt:i4>6225987</vt:i4>
      </vt:variant>
      <vt:variant>
        <vt:i4>3</vt:i4>
      </vt:variant>
      <vt:variant>
        <vt:i4>0</vt:i4>
      </vt:variant>
      <vt:variant>
        <vt:i4>5</vt:i4>
      </vt:variant>
      <vt:variant>
        <vt:lpwstr>https://trpocb.org/campagnes/lobby/reperesetactions/</vt:lpwstr>
      </vt:variant>
      <vt:variant>
        <vt:lpwstr/>
      </vt:variant>
      <vt:variant>
        <vt:i4>2621550</vt:i4>
      </vt:variant>
      <vt:variant>
        <vt:i4>0</vt:i4>
      </vt:variant>
      <vt:variant>
        <vt:i4>0</vt:i4>
      </vt:variant>
      <vt:variant>
        <vt:i4>5</vt:i4>
      </vt:variant>
      <vt:variant>
        <vt:lpwstr>https://trpocb.org/wp-content/uploads/2025/06/Reglement-relatif-au-champ-dapplication-de-la-Loi-lobbyismeT-11.011-R.-1-.pdf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Jacinthe Messier</dc:creator>
  <cp:keywords/>
  <dc:description/>
  <cp:lastModifiedBy>Jacinthe Messier</cp:lastModifiedBy>
  <cp:revision>156</cp:revision>
  <cp:lastPrinted>2026-09-10T20:42:00Z</cp:lastPrinted>
  <dcterms:created xsi:type="dcterms:W3CDTF">2026-09-01T16:09:00Z</dcterms:created>
  <dcterms:modified xsi:type="dcterms:W3CDTF">2026-09-11T18:02:00Z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0x010100A397643D1D4D9347AA0297DEEA93E74E</vt:lpwstr>
  </property>
  <property fmtid="{D5CDD505-2E9C-101B-9397-08002B2CF9AE}" pid="3" name="MediaServiceImageTags">
    <vt:lpwstr/>
  </property>
</Properties>
</file>